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91" w:rsidRPr="00FF7EF0" w:rsidRDefault="00FB6E91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</w:rPr>
        <w:t>臺北市立新民國民中學</w:t>
      </w:r>
    </w:p>
    <w:p w:rsidR="00FB6E91" w:rsidRPr="00FF7EF0" w:rsidRDefault="006B7192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8A68AD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60177A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1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學期</w:t>
      </w:r>
      <w:r w:rsidR="0060177A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9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年級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領域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表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FB6E91" w:rsidRPr="00FF7EF0" w:rsidRDefault="00FB6E91" w:rsidP="00FB6E91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FF7EF0">
        <w:rPr>
          <w:rFonts w:ascii="標楷體" w:eastAsia="標楷體" w:hAnsi="標楷體" w:hint="eastAsia"/>
          <w:sz w:val="24"/>
          <w:szCs w:val="24"/>
        </w:rPr>
        <w:t>教科書版本:</w:t>
      </w:r>
      <w:r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FF7EF0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FB6E91" w:rsidRPr="00FF7EF0" w:rsidRDefault="00FB6E91" w:rsidP="00FB6E91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FF7EF0">
        <w:rPr>
          <w:rFonts w:ascii="標楷體" w:eastAsia="標楷體" w:hAnsi="標楷體" w:hint="eastAsia"/>
          <w:sz w:val="24"/>
          <w:szCs w:val="24"/>
        </w:rPr>
        <w:t>編撰教師:</w:t>
      </w:r>
      <w:r w:rsidR="00126961" w:rsidRPr="00FF7EF0">
        <w:rPr>
          <w:rFonts w:ascii="標楷體" w:eastAsia="標楷體" w:hAnsi="標楷體" w:hint="eastAsia"/>
          <w:sz w:val="24"/>
          <w:szCs w:val="24"/>
          <w:u w:val="single"/>
        </w:rPr>
        <w:t>胡正芸</w:t>
      </w:r>
    </w:p>
    <w:p w:rsidR="00FB6E91" w:rsidRPr="00FF7EF0" w:rsidRDefault="00FB6E91" w:rsidP="00FB6E91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FF7EF0">
        <w:rPr>
          <w:rFonts w:ascii="標楷體" w:eastAsia="標楷體" w:hAnsi="標楷體" w:hint="eastAsia"/>
          <w:b/>
        </w:rPr>
        <w:t>本學期學習目標</w:t>
      </w:r>
    </w:p>
    <w:p w:rsidR="00516962" w:rsidRPr="00FF7EF0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(一)</w:t>
      </w:r>
      <w:r w:rsidR="00B557D9" w:rsidRPr="00FF7EF0">
        <w:rPr>
          <w:rFonts w:ascii="標楷體" w:eastAsia="標楷體" w:hAnsi="標楷體" w:hint="eastAsia"/>
        </w:rPr>
        <w:t>透過「衝突情節」的練習課程，體會衝突危機處理</w:t>
      </w:r>
    </w:p>
    <w:p w:rsidR="004D2F5F" w:rsidRPr="00FF7EF0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(二)</w:t>
      </w:r>
      <w:r w:rsidR="00B557D9" w:rsidRPr="00FF7EF0">
        <w:rPr>
          <w:rFonts w:ascii="標楷體" w:eastAsia="標楷體" w:hAnsi="標楷體" w:hint="eastAsia"/>
          <w:bCs/>
        </w:rPr>
        <w:t>了解現代舞及後現代舞蹈的特色</w:t>
      </w:r>
    </w:p>
    <w:p w:rsidR="004D2F5F" w:rsidRPr="00FF7EF0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</w:t>
      </w:r>
      <w:r w:rsidR="0080797D" w:rsidRPr="00FF7EF0">
        <w:rPr>
          <w:rFonts w:ascii="標楷體" w:eastAsia="標楷體" w:hAnsi="標楷體" w:hint="eastAsia"/>
          <w:bCs/>
        </w:rPr>
        <w:t>三</w:t>
      </w:r>
      <w:r w:rsidRPr="00FF7EF0">
        <w:rPr>
          <w:rFonts w:ascii="標楷體" w:eastAsia="標楷體" w:hAnsi="標楷體" w:hint="eastAsia"/>
          <w:bCs/>
        </w:rPr>
        <w:t>)</w:t>
      </w:r>
      <w:r w:rsidR="00B557D9" w:rsidRPr="00FF7EF0">
        <w:rPr>
          <w:rFonts w:ascii="標楷體" w:eastAsia="標楷體" w:hAnsi="標楷體" w:hint="eastAsia"/>
        </w:rPr>
        <w:t>認識臺灣在地舞蹈的特色</w:t>
      </w:r>
    </w:p>
    <w:p w:rsidR="00B95CB8" w:rsidRPr="00FF7EF0" w:rsidRDefault="00B95CB8" w:rsidP="00516962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  <w:bCs/>
        </w:rPr>
        <w:t>(</w:t>
      </w:r>
      <w:r w:rsidR="0080797D" w:rsidRPr="00FF7EF0">
        <w:rPr>
          <w:rFonts w:ascii="標楷體" w:eastAsia="標楷體" w:hAnsi="標楷體" w:hint="eastAsia"/>
          <w:bCs/>
        </w:rPr>
        <w:t>四</w:t>
      </w:r>
      <w:r w:rsidRPr="00FF7EF0">
        <w:rPr>
          <w:rFonts w:ascii="標楷體" w:eastAsia="標楷體" w:hAnsi="標楷體" w:hint="eastAsia"/>
          <w:bCs/>
        </w:rPr>
        <w:t>)</w:t>
      </w:r>
      <w:r w:rsidR="00B557D9" w:rsidRPr="00FF7EF0">
        <w:rPr>
          <w:rFonts w:ascii="標楷體" w:eastAsia="標楷體" w:hAnsi="標楷體" w:hint="eastAsia"/>
        </w:rPr>
        <w:t>理解劇本創作的流程</w:t>
      </w:r>
    </w:p>
    <w:p w:rsidR="00A247D4" w:rsidRPr="00FF7EF0" w:rsidRDefault="00516962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(五)</w:t>
      </w:r>
      <w:r w:rsidR="00B557D9" w:rsidRPr="00FF7EF0">
        <w:rPr>
          <w:rFonts w:ascii="標楷體" w:eastAsia="標楷體" w:hAnsi="標楷體" w:hint="eastAsia"/>
        </w:rPr>
        <w:t>培養學生為演出製作節目單的能力</w:t>
      </w:r>
    </w:p>
    <w:p w:rsidR="004D2F5F" w:rsidRPr="00FF7EF0" w:rsidRDefault="009B4E2B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(六)</w:t>
      </w:r>
      <w:r w:rsidR="00B557D9" w:rsidRPr="00FF7EF0">
        <w:rPr>
          <w:rFonts w:ascii="標楷體" w:eastAsia="標楷體" w:hAnsi="標楷體" w:hint="eastAsia"/>
          <w:bCs/>
        </w:rPr>
        <w:t>分組合作的學習，養成學生團體學習與解決問題的能力。</w:t>
      </w:r>
    </w:p>
    <w:p w:rsidR="00FB6E91" w:rsidRPr="00FF7EF0" w:rsidRDefault="00B95CB8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</w:rPr>
        <w:t>二、</w:t>
      </w:r>
      <w:r w:rsidR="00FB6E91" w:rsidRPr="00FF7EF0">
        <w:rPr>
          <w:rFonts w:ascii="標楷體" w:eastAsia="標楷體" w:hAnsi="標楷體" w:hint="eastAsia"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37"/>
        <w:gridCol w:w="977"/>
        <w:gridCol w:w="1193"/>
        <w:gridCol w:w="2878"/>
        <w:gridCol w:w="1006"/>
        <w:gridCol w:w="1152"/>
        <w:gridCol w:w="432"/>
        <w:gridCol w:w="1168"/>
        <w:gridCol w:w="412"/>
      </w:tblGrid>
      <w:tr w:rsidR="000E164C" w:rsidRPr="00FF7EF0" w:rsidTr="000303A7">
        <w:trPr>
          <w:trHeight w:val="851"/>
          <w:tblHeader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3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實施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能力</w:t>
            </w:r>
          </w:p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重大</w:t>
            </w:r>
          </w:p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評量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備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註</w:t>
            </w:r>
          </w:p>
        </w:tc>
      </w:tr>
      <w:tr w:rsidR="003A5E74" w:rsidRPr="00FF7EF0" w:rsidTr="000303A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</w:t>
            </w:r>
            <w:r w:rsidR="004E4725"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CA60BC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8/2</w:t>
            </w:r>
            <w:r w:rsidR="00DF2EB5">
              <w:rPr>
                <w:rFonts w:ascii="標楷體" w:eastAsia="標楷體" w:hAnsi="標楷體" w:hint="eastAsia"/>
              </w:rPr>
              <w:t>7</w:t>
            </w:r>
            <w:r w:rsidR="003A5E74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CA60BC" w:rsidP="00410180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10/1</w:t>
            </w:r>
            <w:r w:rsidR="00DF2E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穿越時空遇見愛情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從中西方的戲劇、舞蹈與電影中，認識以愛情為主題的作品。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透過「衝突情節」的練習課程，體會劇中人物的衝突危機處理。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能欣賞與分析戲劇與電影中，不同愛情元素所造成的戲劇衝突。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4.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認識悲劇與喜劇的特質與衝突的關係。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透過分組合作的學習，養成學生團體學習與解決問題的能力。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1-4-2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  <w:p w:rsidR="003A5E74" w:rsidRPr="00FF7EF0" w:rsidRDefault="002C4C33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3-4-11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資訊教育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人權教育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3A5E74" w:rsidRPr="00FF7EF0" w:rsidTr="003772C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</w:t>
            </w:r>
            <w:r w:rsidR="003A5E74" w:rsidRPr="00FF7EF0">
              <w:rPr>
                <w:rFonts w:ascii="標楷體" w:eastAsia="標楷體" w:hAnsi="標楷體" w:hint="eastAsia"/>
              </w:rPr>
              <w:t>-1</w:t>
            </w:r>
            <w:r w:rsidRPr="00FF7E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F21F0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DF2EB5">
              <w:rPr>
                <w:rFonts w:ascii="標楷體" w:eastAsia="標楷體" w:hAnsi="標楷體" w:hint="eastAsia"/>
              </w:rPr>
              <w:t>5</w:t>
            </w:r>
            <w:r w:rsidR="004E4725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F21F01" w:rsidP="00DF2EB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F2EB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="00DF2EB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我舞故我在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了解現代舞及後現代舞蹈的特色。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認識臺灣舞蹈的在地特色。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實際探索舞蹈活動。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2-4-5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2-4-8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3A5E74" w:rsidRPr="00FF7EF0" w:rsidRDefault="00AC0F4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個人</w:t>
            </w:r>
            <w:r w:rsidR="003A5E74" w:rsidRPr="00FF7EF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3A5E74" w:rsidRPr="00FF7EF0" w:rsidTr="003772C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lastRenderedPageBreak/>
              <w:t>1</w:t>
            </w:r>
            <w:r w:rsidR="004E4725" w:rsidRPr="00FF7EF0">
              <w:rPr>
                <w:rFonts w:ascii="標楷體" w:eastAsia="標楷體" w:hAnsi="標楷體" w:hint="eastAsia"/>
              </w:rPr>
              <w:t>5</w:t>
            </w:r>
            <w:r w:rsidRPr="00FF7EF0">
              <w:rPr>
                <w:rFonts w:ascii="標楷體" w:eastAsia="標楷體" w:hAnsi="標楷體" w:hint="eastAsia"/>
              </w:rPr>
              <w:t>-</w:t>
            </w:r>
            <w:r w:rsidR="004E4725" w:rsidRPr="00FF7EF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2A68EB" w:rsidP="00A24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DF2EB5">
              <w:rPr>
                <w:rFonts w:ascii="標楷體" w:eastAsia="標楷體" w:hAnsi="標楷體" w:hint="eastAsia"/>
              </w:rPr>
              <w:t>3</w:t>
            </w:r>
            <w:r w:rsidR="004E4725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2A68EB" w:rsidP="00A24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DF2EB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用劇本記錄青春紀事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理解劇本創作的流程。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認識劇本的特殊形式。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認識劇本的內容——人物、對話、故事、主題。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4.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嘗試利用生活經驗為材料，創作劇本。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綜合運用表演藝術心得，將劇本加以演出。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6.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培養學生為演出製作節目單的能力。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2-4-5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2-4-8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C34451" w:rsidRPr="00FF7EF0" w:rsidRDefault="00C3445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綜合演出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1D86" w:rsidRPr="00FF7EF0" w:rsidRDefault="00911D86">
      <w:pPr>
        <w:rPr>
          <w:rFonts w:ascii="標楷體" w:eastAsia="標楷體" w:hAnsi="標楷體"/>
        </w:rPr>
      </w:pPr>
      <w:r w:rsidRPr="00FF7EF0">
        <w:rPr>
          <w:rFonts w:ascii="標楷體" w:eastAsia="標楷體" w:hAnsi="標楷體"/>
        </w:rPr>
        <w:br w:type="page"/>
      </w:r>
    </w:p>
    <w:p w:rsidR="00911D86" w:rsidRPr="00FF7EF0" w:rsidRDefault="00911D86" w:rsidP="00911D86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</w:rPr>
        <w:lastRenderedPageBreak/>
        <w:t>臺北市立新民國民中學</w:t>
      </w:r>
    </w:p>
    <w:p w:rsidR="00911D86" w:rsidRPr="00FF7EF0" w:rsidRDefault="002C3A71" w:rsidP="00911D86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8A68AD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2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學期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9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年級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領域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表</w:t>
      </w:r>
      <w:r w:rsidR="0012696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12696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911D86" w:rsidRPr="00FF7EF0" w:rsidRDefault="00911D86" w:rsidP="00911D86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FF7EF0">
        <w:rPr>
          <w:rFonts w:ascii="標楷體" w:eastAsia="標楷體" w:hAnsi="標楷體" w:hint="eastAsia"/>
          <w:sz w:val="24"/>
          <w:szCs w:val="24"/>
        </w:rPr>
        <w:t>教科書版本:</w:t>
      </w:r>
      <w:r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FF7EF0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911D86" w:rsidRPr="00FF7EF0" w:rsidRDefault="00911D86" w:rsidP="00911D86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FF7EF0">
        <w:rPr>
          <w:rFonts w:ascii="標楷體" w:eastAsia="標楷體" w:hAnsi="標楷體" w:hint="eastAsia"/>
          <w:sz w:val="24"/>
          <w:szCs w:val="24"/>
        </w:rPr>
        <w:t>編撰教師:</w:t>
      </w:r>
      <w:r w:rsidR="00126961"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胡正芸 </w:t>
      </w:r>
    </w:p>
    <w:p w:rsidR="00911D86" w:rsidRPr="00FF7EF0" w:rsidRDefault="00911D86" w:rsidP="00911D86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FF7EF0">
        <w:rPr>
          <w:rFonts w:ascii="標楷體" w:eastAsia="標楷體" w:hAnsi="標楷體" w:hint="eastAsia"/>
          <w:b/>
        </w:rPr>
        <w:t>本學期學習目標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(一)</w:t>
      </w:r>
      <w:r w:rsidRPr="00FF7EF0">
        <w:rPr>
          <w:rFonts w:ascii="標楷體" w:eastAsia="標楷體" w:hAnsi="標楷體" w:hint="eastAsia"/>
        </w:rPr>
        <w:t xml:space="preserve"> 培養對寫實與非寫實戲劇作品的欣賞力與理解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(二)</w:t>
      </w:r>
      <w:r w:rsidRPr="00FF7EF0">
        <w:rPr>
          <w:rFonts w:ascii="標楷體" w:eastAsia="標楷體" w:hAnsi="標楷體" w:hint="eastAsia"/>
        </w:rPr>
        <w:t xml:space="preserve"> 了解表演團體創作過程的艱辛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(三)</w:t>
      </w:r>
      <w:r w:rsidRPr="00FF7EF0">
        <w:rPr>
          <w:rFonts w:ascii="標楷體" w:eastAsia="標楷體" w:hAnsi="標楷體" w:hint="eastAsia"/>
        </w:rPr>
        <w:t xml:space="preserve"> 學習不同文化的藝術美感並培養學生具備寬廣的國際觀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  <w:bCs/>
        </w:rPr>
        <w:t>(四)</w:t>
      </w:r>
      <w:r w:rsidRPr="00FF7EF0">
        <w:rPr>
          <w:rFonts w:ascii="標楷體" w:eastAsia="標楷體" w:hAnsi="標楷體" w:hint="eastAsia"/>
        </w:rPr>
        <w:t xml:space="preserve"> 認識東南亞不同國家傳統特色舞蹈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(五)透過分組合作的學習，養成學生團體學習與解決問題的能力。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38"/>
        <w:gridCol w:w="839"/>
        <w:gridCol w:w="1184"/>
        <w:gridCol w:w="3021"/>
        <w:gridCol w:w="1007"/>
        <w:gridCol w:w="1151"/>
        <w:gridCol w:w="432"/>
        <w:gridCol w:w="1174"/>
        <w:gridCol w:w="409"/>
      </w:tblGrid>
      <w:tr w:rsidR="00911D86" w:rsidRPr="00FF7EF0" w:rsidTr="002C4C33">
        <w:trPr>
          <w:trHeight w:val="851"/>
          <w:tblHeader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2C4C33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能力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重大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評量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備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註</w:t>
            </w:r>
          </w:p>
        </w:tc>
      </w:tr>
      <w:tr w:rsidR="00911D86" w:rsidRPr="00FF7EF0" w:rsidTr="002C4C33">
        <w:trPr>
          <w:cantSplit/>
          <w:trHeight w:val="1134"/>
        </w:trPr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CB06C5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 w:rsidR="00DF2EB5">
              <w:rPr>
                <w:rFonts w:ascii="標楷體" w:eastAsia="標楷體" w:hAnsi="標楷體" w:hint="eastAsia"/>
              </w:rPr>
              <w:t>1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2C3A71" w:rsidP="00911D86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3/</w:t>
            </w:r>
            <w:r w:rsidR="00DF2EB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寫實與非寫實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1.了解戲劇藝術中具象與抽象的表現方式。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2.培養對寫實與非寫實戲劇作品的欣賞力與理解力。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3.從寫實與非寫實的片段場景練習中，進一步認識寫實與非寫實的表演方法不同之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處。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1-4-1</w:t>
            </w:r>
          </w:p>
          <w:p w:rsidR="00911D86" w:rsidRPr="00FF7EF0" w:rsidRDefault="00911D86" w:rsidP="002C4C33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911D86" w:rsidRPr="00FF7EF0" w:rsidTr="003772C0">
        <w:trPr>
          <w:cantSplit/>
          <w:trHeight w:val="1134"/>
        </w:trPr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8-14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2C3A71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4/</w:t>
            </w:r>
            <w:r w:rsidR="00DF2EB5">
              <w:rPr>
                <w:rFonts w:ascii="標楷體" w:eastAsia="標楷體" w:hAnsi="標楷體" w:hint="eastAsia"/>
              </w:rPr>
              <w:t>1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2C3A71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5/1</w:t>
            </w:r>
            <w:r w:rsidR="00DF2EB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力求創新的臺灣現代劇場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1.從認識中、西方的劇場文化與歷史，學習不同文化的藝術美感並培養學生具備寬廣的國際觀。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3.從體認劇本呈現的過程中，帶領學生感受的不同的表演風格及劇場形式。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4.透過分組合作的學習，養成學生團體學習與解決問題的能力。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1-4-1</w:t>
            </w:r>
          </w:p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1-4-2</w:t>
            </w:r>
          </w:p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2-4-7</w:t>
            </w:r>
          </w:p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3-4-10</w:t>
            </w:r>
          </w:p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生涯發展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資訊教育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環境教育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個人發表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911D86" w:rsidRPr="00FF7EF0" w:rsidTr="003772C0">
        <w:trPr>
          <w:cantSplit/>
          <w:trHeight w:val="1134"/>
        </w:trPr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A62AD4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2C3A71" w:rsidP="0039061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5/2</w:t>
            </w:r>
            <w:r w:rsidR="00DF2EB5">
              <w:rPr>
                <w:rFonts w:ascii="標楷體" w:eastAsia="標楷體" w:hAnsi="標楷體" w:hint="eastAsia"/>
              </w:rPr>
              <w:t>0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911D86" w:rsidP="00911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6/</w:t>
            </w:r>
            <w:r w:rsidR="00A62AD4">
              <w:rPr>
                <w:rFonts w:ascii="標楷體" w:eastAsia="標楷體" w:hAnsi="標楷體" w:hint="eastAsia"/>
              </w:rPr>
              <w:t>1</w:t>
            </w:r>
            <w:r w:rsidR="00DF2EB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亞洲傳統戲劇巡禮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1.認識宗教與戲劇的關係。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2.認識印度梵劇。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3.認識日本傳統戲劇歌舞伎。</w:t>
            </w:r>
          </w:p>
          <w:p w:rsidR="00911D86" w:rsidRPr="00FF7EF0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4.認識越南水傀儡。</w:t>
            </w:r>
          </w:p>
          <w:p w:rsidR="00911D86" w:rsidRDefault="00911D86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5.認識泰國舞劇。</w:t>
            </w:r>
          </w:p>
          <w:p w:rsidR="001B2198" w:rsidRPr="00FF7EF0" w:rsidRDefault="001B2198" w:rsidP="0039061B">
            <w:pPr>
              <w:pStyle w:val="a8"/>
              <w:spacing w:line="280" w:lineRule="exact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2-4-7</w:t>
            </w:r>
          </w:p>
          <w:p w:rsidR="00911D86" w:rsidRPr="00FF7EF0" w:rsidRDefault="00911D86" w:rsidP="0022460F">
            <w:pPr>
              <w:spacing w:line="280" w:lineRule="exact"/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環境教育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生涯發展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綜合演出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55EC" w:rsidRPr="00FF7EF0" w:rsidRDefault="002955EC" w:rsidP="00911D86">
      <w:pPr>
        <w:rPr>
          <w:rFonts w:ascii="標楷體" w:eastAsia="標楷體" w:hAnsi="標楷體"/>
        </w:rPr>
      </w:pPr>
      <w:bookmarkStart w:id="0" w:name="_GoBack"/>
      <w:bookmarkEnd w:id="0"/>
    </w:p>
    <w:sectPr w:rsidR="002955EC" w:rsidRPr="00FF7EF0" w:rsidSect="002C4C3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E4" w:rsidRDefault="00694DE4" w:rsidP="0005250B">
      <w:r>
        <w:separator/>
      </w:r>
    </w:p>
  </w:endnote>
  <w:endnote w:type="continuationSeparator" w:id="1">
    <w:p w:rsidR="00694DE4" w:rsidRDefault="00694DE4" w:rsidP="0005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E4" w:rsidRDefault="00694DE4" w:rsidP="0005250B">
      <w:r>
        <w:separator/>
      </w:r>
    </w:p>
  </w:footnote>
  <w:footnote w:type="continuationSeparator" w:id="1">
    <w:p w:rsidR="00694DE4" w:rsidRDefault="00694DE4" w:rsidP="00052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taiwaneseCountingThousand"/>
      <w:lvlText w:val="(%2)"/>
      <w:lvlJc w:val="left"/>
      <w:pPr>
        <w:tabs>
          <w:tab w:val="num" w:pos="1353"/>
        </w:tabs>
        <w:ind w:left="1353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91"/>
    <w:rsid w:val="00002A10"/>
    <w:rsid w:val="000110BC"/>
    <w:rsid w:val="000303A7"/>
    <w:rsid w:val="0005250B"/>
    <w:rsid w:val="00072804"/>
    <w:rsid w:val="00091BEA"/>
    <w:rsid w:val="000C4A1C"/>
    <w:rsid w:val="000E164C"/>
    <w:rsid w:val="000F22BC"/>
    <w:rsid w:val="00112633"/>
    <w:rsid w:val="00126961"/>
    <w:rsid w:val="00141D93"/>
    <w:rsid w:val="00141E5A"/>
    <w:rsid w:val="00176097"/>
    <w:rsid w:val="001979AC"/>
    <w:rsid w:val="001B2198"/>
    <w:rsid w:val="001F5CCF"/>
    <w:rsid w:val="0022460F"/>
    <w:rsid w:val="0023776A"/>
    <w:rsid w:val="002955EC"/>
    <w:rsid w:val="002A68EB"/>
    <w:rsid w:val="002C3A71"/>
    <w:rsid w:val="002C4C33"/>
    <w:rsid w:val="002E30C1"/>
    <w:rsid w:val="00313506"/>
    <w:rsid w:val="0031561F"/>
    <w:rsid w:val="00353AA7"/>
    <w:rsid w:val="003772C0"/>
    <w:rsid w:val="003859F3"/>
    <w:rsid w:val="003A5E74"/>
    <w:rsid w:val="00410180"/>
    <w:rsid w:val="00493D88"/>
    <w:rsid w:val="004D2F5F"/>
    <w:rsid w:val="004E4725"/>
    <w:rsid w:val="00516962"/>
    <w:rsid w:val="005224B8"/>
    <w:rsid w:val="0060177A"/>
    <w:rsid w:val="006725D1"/>
    <w:rsid w:val="00694DE4"/>
    <w:rsid w:val="006A5531"/>
    <w:rsid w:val="006B7192"/>
    <w:rsid w:val="00784CCF"/>
    <w:rsid w:val="007952B7"/>
    <w:rsid w:val="007B386C"/>
    <w:rsid w:val="007E2DF8"/>
    <w:rsid w:val="007E669A"/>
    <w:rsid w:val="0080797D"/>
    <w:rsid w:val="0085726B"/>
    <w:rsid w:val="008A68AD"/>
    <w:rsid w:val="00911D86"/>
    <w:rsid w:val="0099050A"/>
    <w:rsid w:val="009A598E"/>
    <w:rsid w:val="009B4E2B"/>
    <w:rsid w:val="009C0838"/>
    <w:rsid w:val="00A247D4"/>
    <w:rsid w:val="00A62AD4"/>
    <w:rsid w:val="00AC0F41"/>
    <w:rsid w:val="00AE070B"/>
    <w:rsid w:val="00B557D9"/>
    <w:rsid w:val="00B948D9"/>
    <w:rsid w:val="00B95CB8"/>
    <w:rsid w:val="00BE3743"/>
    <w:rsid w:val="00C34451"/>
    <w:rsid w:val="00C75611"/>
    <w:rsid w:val="00CA60BC"/>
    <w:rsid w:val="00CB06C5"/>
    <w:rsid w:val="00D85B8B"/>
    <w:rsid w:val="00DF2EB5"/>
    <w:rsid w:val="00E03DAC"/>
    <w:rsid w:val="00E067DC"/>
    <w:rsid w:val="00E50257"/>
    <w:rsid w:val="00E97A28"/>
    <w:rsid w:val="00EA3C3C"/>
    <w:rsid w:val="00EE12AB"/>
    <w:rsid w:val="00F21F01"/>
    <w:rsid w:val="00F52521"/>
    <w:rsid w:val="00F611BF"/>
    <w:rsid w:val="00FB6E91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  <w:style w:type="paragraph" w:styleId="a8">
    <w:name w:val="Body Text"/>
    <w:basedOn w:val="a"/>
    <w:link w:val="a9"/>
    <w:rsid w:val="00A247D4"/>
    <w:pPr>
      <w:ind w:rightChars="10" w:right="20"/>
    </w:pPr>
    <w:rPr>
      <w:sz w:val="20"/>
      <w:szCs w:val="20"/>
    </w:rPr>
  </w:style>
  <w:style w:type="character" w:customStyle="1" w:styleId="a9">
    <w:name w:val="本文 字元"/>
    <w:basedOn w:val="a0"/>
    <w:link w:val="a8"/>
    <w:rsid w:val="00A247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A247D4"/>
    <w:pPr>
      <w:ind w:rightChars="10" w:right="10"/>
    </w:pPr>
    <w:rPr>
      <w:rFonts w:ascii="細明體" w:eastAsia="細明體" w:hAnsi="Courier New"/>
      <w:sz w:val="20"/>
      <w:szCs w:val="20"/>
    </w:rPr>
  </w:style>
  <w:style w:type="character" w:customStyle="1" w:styleId="ab">
    <w:name w:val="純文字 字元"/>
    <w:basedOn w:val="a0"/>
    <w:link w:val="aa"/>
    <w:rsid w:val="00A247D4"/>
    <w:rPr>
      <w:rFonts w:ascii="細明體" w:eastAsia="細明體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  <w:style w:type="paragraph" w:styleId="a8">
    <w:name w:val="Body Text"/>
    <w:basedOn w:val="a"/>
    <w:link w:val="a9"/>
    <w:rsid w:val="00A247D4"/>
    <w:pPr>
      <w:ind w:rightChars="10" w:right="20"/>
    </w:pPr>
    <w:rPr>
      <w:sz w:val="20"/>
      <w:szCs w:val="20"/>
    </w:rPr>
  </w:style>
  <w:style w:type="character" w:customStyle="1" w:styleId="a9">
    <w:name w:val="本文 字元"/>
    <w:basedOn w:val="a0"/>
    <w:link w:val="a8"/>
    <w:rsid w:val="00A247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A247D4"/>
    <w:pPr>
      <w:ind w:rightChars="10" w:right="10"/>
    </w:pPr>
    <w:rPr>
      <w:rFonts w:ascii="細明體" w:eastAsia="細明體" w:hAnsi="Courier New"/>
      <w:sz w:val="20"/>
      <w:szCs w:val="20"/>
    </w:rPr>
  </w:style>
  <w:style w:type="character" w:customStyle="1" w:styleId="ab">
    <w:name w:val="純文字 字元"/>
    <w:basedOn w:val="a0"/>
    <w:link w:val="aa"/>
    <w:rsid w:val="00A247D4"/>
    <w:rPr>
      <w:rFonts w:ascii="細明體" w:eastAsia="細明體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</Words>
  <Characters>1376</Characters>
  <Application>Microsoft Office Word</Application>
  <DocSecurity>0</DocSecurity>
  <Lines>11</Lines>
  <Paragraphs>3</Paragraphs>
  <ScaleCrop>false</ScaleCrop>
  <Company>臺北市立新民國中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胡正芸</cp:lastModifiedBy>
  <cp:revision>4</cp:revision>
  <dcterms:created xsi:type="dcterms:W3CDTF">2018-05-02T10:43:00Z</dcterms:created>
  <dcterms:modified xsi:type="dcterms:W3CDTF">2018-05-02T10:59:00Z</dcterms:modified>
</cp:coreProperties>
</file>