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D7" w:rsidRPr="00645CF8" w:rsidRDefault="00F66FF5" w:rsidP="00B558C0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kern w:val="0"/>
          <w:sz w:val="36"/>
          <w:szCs w:val="40"/>
        </w:rPr>
      </w:pPr>
      <w:bookmarkStart w:id="0" w:name="_GoBack"/>
      <w:bookmarkEnd w:id="0"/>
      <w:r w:rsidRPr="00645CF8">
        <w:rPr>
          <w:rFonts w:ascii="微軟正黑體" w:eastAsia="微軟正黑體" w:hAnsi="微軟正黑體" w:cs="Times New Roman"/>
          <w:b/>
          <w:kern w:val="0"/>
          <w:sz w:val="36"/>
          <w:szCs w:val="40"/>
        </w:rPr>
        <w:t>「活化教學～分組合作學習的理念與實踐方案」</w:t>
      </w:r>
    </w:p>
    <w:p w:rsidR="00175058" w:rsidRPr="00645CF8" w:rsidRDefault="006C1A24" w:rsidP="00B558C0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40"/>
        </w:rPr>
      </w:pPr>
      <w:r w:rsidRPr="00645CF8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40"/>
        </w:rPr>
        <w:t>記者會暨</w:t>
      </w:r>
      <w:r w:rsidR="004308F0" w:rsidRPr="00645CF8">
        <w:rPr>
          <w:rFonts w:ascii="微軟正黑體" w:eastAsia="微軟正黑體" w:hAnsi="微軟正黑體" w:cs="Times New Roman"/>
          <w:b/>
          <w:color w:val="000000" w:themeColor="text1"/>
          <w:sz w:val="36"/>
          <w:szCs w:val="40"/>
        </w:rPr>
        <w:t>成果發表會</w:t>
      </w:r>
    </w:p>
    <w:p w:rsidR="00175058" w:rsidRPr="008651C0" w:rsidRDefault="00175058" w:rsidP="00645CF8">
      <w:pPr>
        <w:adjustRightInd w:val="0"/>
        <w:snapToGrid w:val="0"/>
        <w:spacing w:beforeLines="50" w:before="180" w:afterLines="50" w:after="180" w:line="500" w:lineRule="exact"/>
        <w:jc w:val="both"/>
        <w:rPr>
          <w:rFonts w:ascii="微軟正黑體" w:eastAsia="微軟正黑體" w:hAnsi="微軟正黑體" w:cs="Times New Roman"/>
          <w:b/>
          <w:sz w:val="28"/>
          <w:szCs w:val="26"/>
        </w:rPr>
      </w:pPr>
      <w:r w:rsidRPr="008651C0">
        <w:rPr>
          <w:rFonts w:ascii="微軟正黑體" w:eastAsia="微軟正黑體" w:hAnsi="微軟正黑體" w:cs="Times New Roman"/>
          <w:b/>
          <w:sz w:val="28"/>
          <w:szCs w:val="26"/>
        </w:rPr>
        <w:t>壹、</w:t>
      </w:r>
      <w:r w:rsidR="00641BCE" w:rsidRPr="008651C0">
        <w:rPr>
          <w:rFonts w:ascii="微軟正黑體" w:eastAsia="微軟正黑體" w:hAnsi="微軟正黑體" w:cs="Times New Roman"/>
          <w:b/>
          <w:sz w:val="28"/>
          <w:szCs w:val="26"/>
        </w:rPr>
        <w:t>目的</w:t>
      </w:r>
    </w:p>
    <w:p w:rsidR="00264DF2" w:rsidRPr="00DE1D3B" w:rsidRDefault="00944301" w:rsidP="00645CF8">
      <w:pPr>
        <w:pStyle w:val="a3"/>
        <w:spacing w:line="500" w:lineRule="exact"/>
        <w:ind w:firstLineChars="200" w:firstLine="480"/>
        <w:jc w:val="both"/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十二年國教重視國教品質的提升，讓每位學生都可順著自己的性向和興趣去發展才能。在眾多教學策略中，「分組合作學習」有助於提昇學生學習成就、增進學生之學習動機、發展合作及溝通技巧、增進學生自尊及促進族群融合、有助於適性發展，是一項具備多項功效的教學策略。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因此，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為使更多的學校及教師瞭解分組合作學習的理念、作法</w:t>
      </w:r>
      <w:r w:rsidR="00ED1107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以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及</w:t>
      </w:r>
      <w:r w:rsidR="00ED1107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目前</w:t>
      </w:r>
      <w:r w:rsidR="00CD089C">
        <w:rPr>
          <w:rFonts w:ascii="Times New Roman" w:eastAsia="微軟正黑體" w:hAnsi="Times New Roman" w:cs="Times New Roman"/>
          <w:color w:val="000000" w:themeColor="text1"/>
          <w:szCs w:val="24"/>
        </w:rPr>
        <w:t>全國推行的情形</w:t>
      </w:r>
      <w:r w:rsidR="006C1A24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，並分享第二年實施成效</w:t>
      </w:r>
      <w:r w:rsidR="00CD089C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，本計畫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召開「</w:t>
      </w:r>
      <w:r w:rsidR="006C1A24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記者會暨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成果發表會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」</w:t>
      </w:r>
      <w:r w:rsidR="007B7D76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，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其主要目的：</w:t>
      </w:r>
    </w:p>
    <w:p w:rsidR="00264DF2" w:rsidRPr="00CD089C" w:rsidRDefault="006C1A24" w:rsidP="00645CF8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回顧</w:t>
      </w:r>
      <w:r>
        <w:rPr>
          <w:rFonts w:ascii="Times New Roman" w:eastAsia="微軟正黑體" w:hAnsi="Times New Roman" w:cs="Times New Roman"/>
          <w:color w:val="000000" w:themeColor="text1"/>
          <w:szCs w:val="24"/>
        </w:rPr>
        <w:t>第</w:t>
      </w: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二</w:t>
      </w:r>
      <w:r>
        <w:rPr>
          <w:rFonts w:ascii="Times New Roman" w:eastAsia="微軟正黑體" w:hAnsi="Times New Roman" w:cs="Times New Roman"/>
          <w:color w:val="000000" w:themeColor="text1"/>
          <w:szCs w:val="24"/>
        </w:rPr>
        <w:t>年計畫之執行</w:t>
      </w: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分組合作學習實施成效</w:t>
      </w:r>
      <w:r w:rsidR="00524979"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。</w:t>
      </w:r>
    </w:p>
    <w:p w:rsidR="00264DF2" w:rsidRPr="00DE1D3B" w:rsidRDefault="00CD089C" w:rsidP="00645CF8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color w:val="000000" w:themeColor="text1"/>
          <w:szCs w:val="24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4"/>
        </w:rPr>
        <w:t>分享與推廣分組合作學習經驗，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喚起學校及教師對分組合作學習的重視，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  <w:shd w:val="clear" w:color="auto" w:fill="FFFFFF"/>
        </w:rPr>
        <w:t>並落實用教學情境中</w:t>
      </w:r>
      <w:r w:rsidR="00264DF2" w:rsidRPr="00DE1D3B">
        <w:rPr>
          <w:rFonts w:ascii="Times New Roman" w:eastAsia="微軟正黑體" w:hAnsi="Times New Roman" w:cs="Times New Roman"/>
          <w:color w:val="000000" w:themeColor="text1"/>
          <w:szCs w:val="24"/>
        </w:rPr>
        <w:t>。</w:t>
      </w:r>
    </w:p>
    <w:p w:rsidR="00175058" w:rsidRPr="00DE1D3B" w:rsidRDefault="00175058" w:rsidP="00645CF8">
      <w:pPr>
        <w:adjustRightInd w:val="0"/>
        <w:snapToGrid w:val="0"/>
        <w:spacing w:beforeLines="50" w:before="180" w:afterLines="50" w:after="180" w:line="500" w:lineRule="exact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 w:rsidRPr="00DE1D3B">
        <w:rPr>
          <w:rFonts w:ascii="Times New Roman" w:eastAsia="微軟正黑體" w:hAnsi="Times New Roman" w:cs="Times New Roman"/>
          <w:b/>
          <w:sz w:val="28"/>
          <w:szCs w:val="26"/>
        </w:rPr>
        <w:t>貳、辦理單位</w:t>
      </w:r>
    </w:p>
    <w:p w:rsidR="00175058" w:rsidRPr="00DE1D3B" w:rsidRDefault="00175058" w:rsidP="00645CF8">
      <w:pPr>
        <w:adjustRightInd w:val="0"/>
        <w:snapToGrid w:val="0"/>
        <w:spacing w:line="500" w:lineRule="exact"/>
        <w:jc w:val="both"/>
        <w:rPr>
          <w:rFonts w:ascii="Times New Roman" w:eastAsia="微軟正黑體" w:hAnsi="Times New Roman" w:cs="Times New Roman"/>
          <w:szCs w:val="24"/>
        </w:rPr>
      </w:pPr>
      <w:r w:rsidRPr="00DE1D3B">
        <w:rPr>
          <w:rFonts w:ascii="Times New Roman" w:eastAsia="微軟正黑體" w:hAnsi="Times New Roman" w:cs="Times New Roman"/>
          <w:color w:val="000000"/>
          <w:sz w:val="26"/>
          <w:szCs w:val="26"/>
          <w:shd w:val="clear" w:color="auto" w:fill="FFFFFF"/>
        </w:rPr>
        <w:t xml:space="preserve">　</w:t>
      </w: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 xml:space="preserve">　一、主辦單位：</w:t>
      </w:r>
      <w:r w:rsidR="00D84FD6"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教育部國民及學前教育署</w:t>
      </w:r>
    </w:p>
    <w:p w:rsidR="00641BCE" w:rsidRPr="00DE1D3B" w:rsidRDefault="00175058" w:rsidP="00645CF8">
      <w:pPr>
        <w:adjustRightInd w:val="0"/>
        <w:snapToGrid w:val="0"/>
        <w:spacing w:line="500" w:lineRule="exact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 xml:space="preserve">　　二、承辦單位：國立臺北教育大學</w:t>
      </w:r>
    </w:p>
    <w:p w:rsidR="00264DF2" w:rsidRPr="00DE1D3B" w:rsidRDefault="00264DF2" w:rsidP="00645CF8">
      <w:pPr>
        <w:adjustRightInd w:val="0"/>
        <w:snapToGrid w:val="0"/>
        <w:spacing w:beforeLines="50" w:before="180" w:afterLines="50" w:after="180" w:line="500" w:lineRule="exact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 w:rsidRPr="00DE1D3B">
        <w:rPr>
          <w:rFonts w:ascii="Times New Roman" w:eastAsia="微軟正黑體" w:hAnsi="Times New Roman" w:cs="Times New Roman"/>
          <w:b/>
          <w:sz w:val="28"/>
          <w:szCs w:val="26"/>
        </w:rPr>
        <w:t>參、參與對象</w:t>
      </w:r>
    </w:p>
    <w:p w:rsidR="00264DF2" w:rsidRPr="006E33B5" w:rsidRDefault="00FA2238" w:rsidP="006E33B5">
      <w:pPr>
        <w:adjustRightInd w:val="0"/>
        <w:snapToGrid w:val="0"/>
        <w:spacing w:line="500" w:lineRule="exact"/>
        <w:ind w:leftChars="200" w:left="480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一、</w:t>
      </w:r>
      <w:r w:rsidR="00645CF8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本計畫</w:t>
      </w:r>
      <w:r w:rsidR="00645CF8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實施</w:t>
      </w:r>
      <w:r w:rsidR="009C18D7"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學校之校長、教務主任及參與教師</w:t>
      </w:r>
      <w:r w:rsidR="006E33B5" w:rsidRPr="006E33B5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（</w:t>
      </w:r>
      <w:r w:rsidR="006E33B5" w:rsidRPr="006E33B5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請</w:t>
      </w:r>
      <w:r w:rsidR="006E33B5" w:rsidRPr="006E33B5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實施</w:t>
      </w:r>
      <w:r w:rsidR="006E33B5" w:rsidRPr="006E33B5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學校以團隊方式報名參加</w:t>
      </w:r>
      <w:r w:rsidR="006E33B5" w:rsidRPr="006E33B5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）</w:t>
      </w:r>
    </w:p>
    <w:p w:rsidR="00264DF2" w:rsidRPr="00DE1D3B" w:rsidRDefault="00B558C0" w:rsidP="00645CF8">
      <w:pPr>
        <w:adjustRightInd w:val="0"/>
        <w:snapToGrid w:val="0"/>
        <w:spacing w:line="500" w:lineRule="exact"/>
        <w:ind w:leftChars="200" w:left="480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二、本計畫的專家諮詢委員</w:t>
      </w:r>
    </w:p>
    <w:p w:rsidR="00264DF2" w:rsidRPr="00DE1D3B" w:rsidRDefault="00B558C0" w:rsidP="00645CF8">
      <w:pPr>
        <w:adjustRightInd w:val="0"/>
        <w:snapToGrid w:val="0"/>
        <w:spacing w:line="500" w:lineRule="exac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三、師資培育機構或教育相關系所之教授</w:t>
      </w:r>
    </w:p>
    <w:p w:rsidR="00524979" w:rsidRDefault="0090323C" w:rsidP="00645CF8">
      <w:pPr>
        <w:adjustRightInd w:val="0"/>
        <w:snapToGrid w:val="0"/>
        <w:spacing w:line="500" w:lineRule="exac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四、各縣市教育局</w:t>
      </w: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(</w:t>
      </w: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處</w:t>
      </w: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)</w:t>
      </w: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承辦人</w:t>
      </w:r>
    </w:p>
    <w:p w:rsidR="00524979" w:rsidRPr="00524979" w:rsidRDefault="00524979" w:rsidP="00645CF8">
      <w:pPr>
        <w:adjustRightInd w:val="0"/>
        <w:snapToGrid w:val="0"/>
        <w:spacing w:line="500" w:lineRule="exac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五、各縣市國中</w:t>
      </w:r>
      <w:r w:rsidR="00DC1A38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自行</w:t>
      </w: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報名</w:t>
      </w:r>
      <w:r w:rsidR="002B0BA9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之</w:t>
      </w:r>
      <w:r w:rsidR="00DC1A38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教師</w:t>
      </w: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（</w:t>
      </w:r>
      <w:r w:rsidR="00DC1A38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此</w:t>
      </w: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名額</w:t>
      </w:r>
      <w:r w:rsidR="00DC1A38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以</w:t>
      </w: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上述四項為優先，</w:t>
      </w:r>
      <w:r w:rsidR="008F5246"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報名</w:t>
      </w:r>
      <w:r>
        <w:rPr>
          <w:rFonts w:ascii="Times New Roman" w:eastAsia="微軟正黑體" w:hAnsi="Times New Roman" w:cs="Times New Roman" w:hint="eastAsia"/>
          <w:color w:val="000000"/>
          <w:szCs w:val="24"/>
          <w:shd w:val="clear" w:color="auto" w:fill="FFFFFF"/>
        </w:rPr>
        <w:t>額滿為止）</w:t>
      </w:r>
    </w:p>
    <w:p w:rsidR="00B558C0" w:rsidRPr="00DE1D3B" w:rsidRDefault="00B558C0" w:rsidP="00645CF8">
      <w:pPr>
        <w:adjustRightInd w:val="0"/>
        <w:snapToGrid w:val="0"/>
        <w:spacing w:beforeLines="50" w:before="180" w:afterLines="50" w:after="180" w:line="500" w:lineRule="exact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 w:rsidRPr="00DE1D3B">
        <w:rPr>
          <w:rFonts w:ascii="Times New Roman" w:eastAsia="微軟正黑體" w:hAnsi="Times New Roman" w:cs="Times New Roman"/>
          <w:b/>
          <w:sz w:val="28"/>
          <w:szCs w:val="26"/>
        </w:rPr>
        <w:t>肆、報名方式</w:t>
      </w:r>
    </w:p>
    <w:p w:rsidR="0090323C" w:rsidRPr="00DE1D3B" w:rsidRDefault="00B558C0" w:rsidP="00645CF8">
      <w:pPr>
        <w:widowControl/>
        <w:adjustRightInd w:val="0"/>
        <w:snapToGrid w:val="0"/>
        <w:spacing w:line="500" w:lineRule="exact"/>
        <w:ind w:leftChars="177" w:left="425" w:firstLineChars="200" w:firstLine="48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敬請各位師長逕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上本計畫分組合作學習平台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(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網址：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http://www.coop.ntue.edu.tw)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「</w:t>
      </w:r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成果發表會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」報名。報名至</w:t>
      </w:r>
      <w:r w:rsidR="00E97061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10</w:t>
      </w:r>
      <w:r w:rsidR="00E97061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3</w:t>
      </w:r>
      <w:r w:rsidR="0090323C" w:rsidRPr="00524979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年</w:t>
      </w:r>
      <w:r w:rsidR="006E33B5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07</w:t>
      </w:r>
      <w:r w:rsidR="0090323C" w:rsidRPr="00524979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月</w:t>
      </w:r>
      <w:r w:rsidR="006E33B5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07</w:t>
      </w:r>
      <w:r w:rsidR="0090323C" w:rsidRPr="00524979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日止</w:t>
      </w:r>
      <w:r w:rsidR="0090323C"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。</w:t>
      </w:r>
      <w:r w:rsidR="00645CF8" w:rsidRPr="00645CF8">
        <w:rPr>
          <w:rFonts w:ascii="Times New Roman" w:eastAsia="微軟正黑體" w:hAnsi="Times New Roman" w:cs="Times New Roman" w:hint="eastAsia"/>
          <w:color w:val="000000"/>
          <w:szCs w:val="26"/>
          <w:shd w:val="clear" w:color="auto" w:fill="FFFFFF"/>
        </w:rPr>
        <w:t>受場地位置限制，敬請提早報名，依序遞補至名額額滿為止。</w:t>
      </w:r>
    </w:p>
    <w:p w:rsidR="001F2771" w:rsidRDefault="00B558C0" w:rsidP="00645CF8">
      <w:pPr>
        <w:adjustRightInd w:val="0"/>
        <w:snapToGrid w:val="0"/>
        <w:spacing w:beforeLines="50" w:before="180" w:afterLines="50" w:after="180" w:line="500" w:lineRule="exact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 w:rsidRPr="00DE1D3B">
        <w:rPr>
          <w:rFonts w:ascii="Times New Roman" w:eastAsia="微軟正黑體" w:hAnsi="Times New Roman" w:cs="Times New Roman"/>
          <w:b/>
          <w:sz w:val="28"/>
          <w:szCs w:val="26"/>
        </w:rPr>
        <w:t>伍</w:t>
      </w:r>
      <w:r w:rsidR="00175058" w:rsidRPr="00DE1D3B">
        <w:rPr>
          <w:rFonts w:ascii="Times New Roman" w:eastAsia="微軟正黑體" w:hAnsi="Times New Roman" w:cs="Times New Roman"/>
          <w:b/>
          <w:sz w:val="28"/>
          <w:szCs w:val="26"/>
        </w:rPr>
        <w:t>、</w:t>
      </w:r>
      <w:r w:rsidR="00D12CC3" w:rsidRPr="00DE1D3B">
        <w:rPr>
          <w:rFonts w:ascii="Times New Roman" w:eastAsia="微軟正黑體" w:hAnsi="Times New Roman" w:cs="Times New Roman"/>
          <w:b/>
          <w:sz w:val="28"/>
          <w:szCs w:val="26"/>
        </w:rPr>
        <w:t>會議</w:t>
      </w:r>
      <w:r w:rsidR="00334F77" w:rsidRPr="00DE1D3B">
        <w:rPr>
          <w:rFonts w:ascii="Times New Roman" w:eastAsia="微軟正黑體" w:hAnsi="Times New Roman" w:cs="Times New Roman"/>
          <w:b/>
          <w:sz w:val="28"/>
          <w:szCs w:val="26"/>
        </w:rPr>
        <w:t>時程與</w:t>
      </w:r>
      <w:r w:rsidR="00D84FD6" w:rsidRPr="00DE1D3B">
        <w:rPr>
          <w:rFonts w:ascii="Times New Roman" w:eastAsia="微軟正黑體" w:hAnsi="Times New Roman" w:cs="Times New Roman"/>
          <w:b/>
          <w:sz w:val="28"/>
          <w:szCs w:val="26"/>
        </w:rPr>
        <w:t>地點</w:t>
      </w:r>
    </w:p>
    <w:p w:rsidR="00524979" w:rsidRDefault="00524979" w:rsidP="00645CF8">
      <w:pPr>
        <w:adjustRightInd w:val="0"/>
        <w:snapToGrid w:val="0"/>
        <w:spacing w:line="500" w:lineRule="exact"/>
        <w:ind w:leftChars="177" w:left="425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t>一、時間：</w:t>
      </w:r>
      <w:r w:rsidRPr="00DE1D3B">
        <w:rPr>
          <w:rFonts w:ascii="Times New Roman" w:eastAsia="微軟正黑體" w:hAnsi="Times New Roman" w:cs="Times New Roman"/>
          <w:szCs w:val="24"/>
        </w:rPr>
        <w:t>102</w:t>
      </w:r>
      <w:r w:rsidRPr="00DE1D3B">
        <w:rPr>
          <w:rFonts w:ascii="Times New Roman" w:eastAsia="微軟正黑體" w:hAnsi="Times New Roman" w:cs="Times New Roman"/>
          <w:szCs w:val="24"/>
        </w:rPr>
        <w:t>年</w:t>
      </w:r>
      <w:r w:rsidRPr="00DE1D3B">
        <w:rPr>
          <w:rFonts w:ascii="Times New Roman" w:eastAsia="微軟正黑體" w:hAnsi="Times New Roman" w:cs="Times New Roman"/>
          <w:szCs w:val="24"/>
        </w:rPr>
        <w:t>07</w:t>
      </w:r>
      <w:r w:rsidRPr="00DE1D3B">
        <w:rPr>
          <w:rFonts w:ascii="Times New Roman" w:eastAsia="微軟正黑體" w:hAnsi="Times New Roman" w:cs="Times New Roman"/>
          <w:szCs w:val="24"/>
        </w:rPr>
        <w:t>月</w:t>
      </w:r>
      <w:r w:rsidR="00645CF8">
        <w:rPr>
          <w:rFonts w:ascii="Times New Roman" w:eastAsia="微軟正黑體" w:hAnsi="Times New Roman" w:cs="Times New Roman" w:hint="eastAsia"/>
          <w:szCs w:val="24"/>
        </w:rPr>
        <w:t>14</w:t>
      </w:r>
      <w:r w:rsidR="00645CF8">
        <w:rPr>
          <w:rFonts w:ascii="Times New Roman" w:eastAsia="微軟正黑體" w:hAnsi="Times New Roman" w:cs="Times New Roman"/>
          <w:szCs w:val="24"/>
        </w:rPr>
        <w:t>日（星期</w:t>
      </w:r>
      <w:r w:rsidR="00645CF8">
        <w:rPr>
          <w:rFonts w:ascii="Times New Roman" w:eastAsia="微軟正黑體" w:hAnsi="Times New Roman" w:cs="Times New Roman" w:hint="eastAsia"/>
          <w:szCs w:val="24"/>
        </w:rPr>
        <w:t>一</w:t>
      </w:r>
      <w:r w:rsidRPr="00DE1D3B">
        <w:rPr>
          <w:rFonts w:ascii="Times New Roman" w:eastAsia="微軟正黑體" w:hAnsi="Times New Roman" w:cs="Times New Roman"/>
          <w:szCs w:val="24"/>
        </w:rPr>
        <w:t>）</w:t>
      </w:r>
      <w:r>
        <w:rPr>
          <w:rFonts w:ascii="Times New Roman" w:eastAsia="微軟正黑體" w:hAnsi="Times New Roman" w:cs="Times New Roman" w:hint="eastAsia"/>
          <w:szCs w:val="24"/>
        </w:rPr>
        <w:t>，</w:t>
      </w:r>
      <w:r w:rsidRPr="00DE1D3B">
        <w:rPr>
          <w:rFonts w:ascii="Times New Roman" w:eastAsia="微軟正黑體" w:hAnsi="Times New Roman" w:cs="Times New Roman"/>
          <w:szCs w:val="24"/>
        </w:rPr>
        <w:t>上午</w:t>
      </w:r>
      <w:r w:rsidR="0036309F">
        <w:rPr>
          <w:rFonts w:ascii="Times New Roman" w:eastAsia="微軟正黑體" w:hAnsi="Times New Roman" w:cs="Times New Roman" w:hint="eastAsia"/>
          <w:color w:val="000000" w:themeColor="text1"/>
        </w:rPr>
        <w:t>10</w:t>
      </w:r>
      <w:r w:rsidR="00645CF8">
        <w:rPr>
          <w:rFonts w:ascii="Times New Roman" w:eastAsia="微軟正黑體" w:hAnsi="Times New Roman" w:cs="Times New Roman"/>
          <w:color w:val="000000" w:themeColor="text1"/>
        </w:rPr>
        <w:t>:</w:t>
      </w:r>
      <w:r w:rsidR="0036309F">
        <w:rPr>
          <w:rFonts w:ascii="Times New Roman" w:eastAsia="微軟正黑體" w:hAnsi="Times New Roman" w:cs="Times New Roman" w:hint="eastAsia"/>
          <w:color w:val="000000" w:themeColor="text1"/>
        </w:rPr>
        <w:t>0</w:t>
      </w:r>
      <w:r w:rsidRPr="00DE1D3B">
        <w:rPr>
          <w:rFonts w:ascii="Times New Roman" w:eastAsia="微軟正黑體" w:hAnsi="Times New Roman" w:cs="Times New Roman"/>
          <w:color w:val="000000" w:themeColor="text1"/>
        </w:rPr>
        <w:t>0-</w:t>
      </w:r>
      <w:r w:rsidRPr="00DE1D3B">
        <w:rPr>
          <w:rFonts w:ascii="Times New Roman" w:eastAsia="微軟正黑體" w:hAnsi="Times New Roman" w:cs="Times New Roman"/>
        </w:rPr>
        <w:t>16:30</w:t>
      </w:r>
      <w:r>
        <w:rPr>
          <w:rFonts w:ascii="Times New Roman" w:eastAsia="微軟正黑體" w:hAnsi="Times New Roman" w:cs="Times New Roman" w:hint="eastAsia"/>
        </w:rPr>
        <w:t>。</w:t>
      </w:r>
    </w:p>
    <w:p w:rsidR="00524979" w:rsidRDefault="00524979" w:rsidP="00645CF8">
      <w:pPr>
        <w:adjustRightInd w:val="0"/>
        <w:snapToGrid w:val="0"/>
        <w:spacing w:line="500" w:lineRule="exact"/>
        <w:ind w:leftChars="177" w:left="425"/>
        <w:jc w:val="both"/>
        <w:rPr>
          <w:rFonts w:ascii="Times New Roman" w:eastAsia="微軟正黑體" w:hAnsi="Times New Roman" w:cs="Times New Roman"/>
          <w:szCs w:val="24"/>
        </w:rPr>
      </w:pPr>
      <w:r>
        <w:rPr>
          <w:rFonts w:ascii="Times New Roman" w:eastAsia="微軟正黑體" w:hAnsi="Times New Roman" w:cs="Times New Roman" w:hint="eastAsia"/>
          <w:szCs w:val="24"/>
        </w:rPr>
        <w:lastRenderedPageBreak/>
        <w:t>二、地點：</w:t>
      </w:r>
      <w:r w:rsidRPr="00DE1D3B">
        <w:rPr>
          <w:rFonts w:ascii="Times New Roman" w:eastAsia="微軟正黑體" w:hAnsi="Times New Roman" w:cs="Times New Roman"/>
          <w:szCs w:val="24"/>
        </w:rPr>
        <w:t>國立臺北教育大學</w:t>
      </w:r>
      <w:r w:rsidRPr="00DE1D3B">
        <w:rPr>
          <w:rFonts w:ascii="Times New Roman" w:eastAsia="微軟正黑體" w:hAnsi="Times New Roman" w:cs="Times New Roman"/>
          <w:szCs w:val="24"/>
        </w:rPr>
        <w:t xml:space="preserve"> </w:t>
      </w:r>
      <w:r w:rsidRPr="00DE1D3B">
        <w:rPr>
          <w:rFonts w:ascii="Times New Roman" w:eastAsia="微軟正黑體" w:hAnsi="Times New Roman" w:cs="Times New Roman"/>
          <w:szCs w:val="24"/>
        </w:rPr>
        <w:t>創意館雨賢廳</w:t>
      </w:r>
      <w:r w:rsidR="00B273FD">
        <w:rPr>
          <w:rFonts w:ascii="Times New Roman" w:eastAsia="微軟正黑體" w:hAnsi="Times New Roman" w:cs="Times New Roman" w:hint="eastAsia"/>
          <w:szCs w:val="24"/>
        </w:rPr>
        <w:t>。</w:t>
      </w:r>
    </w:p>
    <w:p w:rsidR="00645CF8" w:rsidRPr="00645CF8" w:rsidRDefault="00645CF8" w:rsidP="00645CF8">
      <w:pPr>
        <w:adjustRightInd w:val="0"/>
        <w:snapToGrid w:val="0"/>
        <w:spacing w:line="500" w:lineRule="exact"/>
        <w:ind w:leftChars="177" w:left="425"/>
        <w:jc w:val="both"/>
        <w:rPr>
          <w:rFonts w:ascii="微軟正黑體" w:eastAsia="微軟正黑體" w:hAnsi="微軟正黑體" w:cs="Times New Roman"/>
          <w:b/>
          <w:szCs w:val="24"/>
        </w:rPr>
      </w:pPr>
      <w:r w:rsidRPr="00645CF8">
        <w:rPr>
          <w:rFonts w:ascii="微軟正黑體" w:eastAsia="微軟正黑體" w:hAnsi="微軟正黑體" w:cs="Times New Roman" w:hint="eastAsia"/>
          <w:b/>
          <w:szCs w:val="24"/>
        </w:rPr>
        <w:t>三、名額限制：</w:t>
      </w:r>
      <w:r w:rsidR="006E33B5">
        <w:rPr>
          <w:rFonts w:ascii="Times New Roman" w:eastAsia="微軟正黑體" w:hAnsi="Times New Roman" w:cs="Times New Roman"/>
          <w:b/>
          <w:szCs w:val="24"/>
        </w:rPr>
        <w:t>2</w:t>
      </w:r>
      <w:r w:rsidR="006E33B5">
        <w:rPr>
          <w:rFonts w:ascii="Times New Roman" w:eastAsia="微軟正黑體" w:hAnsi="Times New Roman" w:cs="Times New Roman" w:hint="eastAsia"/>
          <w:b/>
          <w:szCs w:val="24"/>
        </w:rPr>
        <w:t>00</w:t>
      </w:r>
      <w:r w:rsidRPr="00645CF8">
        <w:rPr>
          <w:rFonts w:ascii="微軟正黑體" w:eastAsia="微軟正黑體" w:hAnsi="微軟正黑體" w:cs="Times New Roman" w:hint="eastAsia"/>
          <w:b/>
          <w:szCs w:val="24"/>
        </w:rPr>
        <w:t>名</w:t>
      </w:r>
      <w:r w:rsidRPr="00645CF8">
        <w:rPr>
          <w:rFonts w:ascii="微軟正黑體" w:eastAsia="微軟正黑體" w:hAnsi="微軟正黑體" w:cs="Times New Roman" w:hint="eastAsia"/>
          <w:b/>
        </w:rPr>
        <w:t>。</w:t>
      </w:r>
    </w:p>
    <w:p w:rsidR="00175058" w:rsidRPr="00DE1D3B" w:rsidRDefault="00B558C0" w:rsidP="00645CF8">
      <w:pPr>
        <w:adjustRightInd w:val="0"/>
        <w:snapToGrid w:val="0"/>
        <w:spacing w:beforeLines="50" w:before="180" w:afterLines="50" w:after="180" w:line="500" w:lineRule="exact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 w:rsidRPr="00DE1D3B">
        <w:rPr>
          <w:rFonts w:ascii="Times New Roman" w:eastAsia="微軟正黑體" w:hAnsi="Times New Roman" w:cs="Times New Roman"/>
          <w:b/>
          <w:sz w:val="28"/>
          <w:szCs w:val="26"/>
        </w:rPr>
        <w:t>陸</w:t>
      </w:r>
      <w:r w:rsidR="00D84FD6" w:rsidRPr="00DE1D3B">
        <w:rPr>
          <w:rFonts w:ascii="Times New Roman" w:eastAsia="微軟正黑體" w:hAnsi="Times New Roman" w:cs="Times New Roman"/>
          <w:b/>
          <w:sz w:val="28"/>
          <w:szCs w:val="26"/>
        </w:rPr>
        <w:t>、</w:t>
      </w:r>
      <w:r w:rsidR="00581B7A" w:rsidRPr="00DE1D3B">
        <w:rPr>
          <w:rFonts w:ascii="Times New Roman" w:eastAsia="微軟正黑體" w:hAnsi="Times New Roman" w:cs="Times New Roman"/>
          <w:b/>
          <w:sz w:val="28"/>
          <w:szCs w:val="26"/>
        </w:rPr>
        <w:t>議程</w:t>
      </w:r>
      <w:r w:rsidR="006505CC" w:rsidRPr="00DE1D3B">
        <w:rPr>
          <w:rFonts w:ascii="Times New Roman" w:eastAsia="微軟正黑體" w:hAnsi="Times New Roman" w:cs="Times New Roman"/>
          <w:b/>
          <w:sz w:val="28"/>
          <w:szCs w:val="26"/>
        </w:rPr>
        <w:t>規劃</w:t>
      </w:r>
    </w:p>
    <w:p w:rsidR="006505CC" w:rsidRDefault="00334F77" w:rsidP="00645CF8">
      <w:pPr>
        <w:adjustRightInd w:val="0"/>
        <w:snapToGrid w:val="0"/>
        <w:spacing w:line="500" w:lineRule="exact"/>
        <w:ind w:leftChars="200" w:left="480"/>
        <w:jc w:val="both"/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一、</w:t>
      </w:r>
      <w:r w:rsidRPr="00DE1D3B">
        <w:rPr>
          <w:rFonts w:ascii="Times New Roman" w:eastAsia="微軟正黑體" w:hAnsi="Times New Roman" w:cs="Times New Roman"/>
          <w:szCs w:val="24"/>
        </w:rPr>
        <w:t xml:space="preserve"> </w:t>
      </w:r>
      <w:r w:rsidR="006505CC" w:rsidRPr="00DE1D3B">
        <w:rPr>
          <w:rFonts w:ascii="Times New Roman" w:eastAsia="微軟正黑體" w:hAnsi="Times New Roman" w:cs="Times New Roman"/>
          <w:color w:val="000000"/>
          <w:szCs w:val="24"/>
          <w:shd w:val="clear" w:color="auto" w:fill="FFFFFF"/>
        </w:rPr>
        <w:t>議程表：</w:t>
      </w:r>
    </w:p>
    <w:tbl>
      <w:tblPr>
        <w:tblStyle w:val="a4"/>
        <w:tblW w:w="5278" w:type="pct"/>
        <w:jc w:val="center"/>
        <w:tblLook w:val="04A0" w:firstRow="1" w:lastRow="0" w:firstColumn="1" w:lastColumn="0" w:noHBand="0" w:noVBand="1"/>
      </w:tblPr>
      <w:tblGrid>
        <w:gridCol w:w="2699"/>
        <w:gridCol w:w="2728"/>
        <w:gridCol w:w="5572"/>
      </w:tblGrid>
      <w:tr w:rsidR="009114C2" w:rsidRPr="0040426C" w:rsidTr="00BE31A3">
        <w:trPr>
          <w:jc w:val="center"/>
        </w:trPr>
        <w:tc>
          <w:tcPr>
            <w:tcW w:w="1227" w:type="pct"/>
            <w:shd w:val="clear" w:color="auto" w:fill="FFC000"/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b/>
                <w:sz w:val="22"/>
              </w:rPr>
              <w:t>時間</w:t>
            </w:r>
          </w:p>
        </w:tc>
        <w:tc>
          <w:tcPr>
            <w:tcW w:w="1240" w:type="pct"/>
            <w:shd w:val="clear" w:color="auto" w:fill="FFC000"/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流程</w:t>
            </w:r>
          </w:p>
        </w:tc>
        <w:tc>
          <w:tcPr>
            <w:tcW w:w="2533" w:type="pct"/>
            <w:shd w:val="clear" w:color="auto" w:fill="FFC000"/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主講人</w:t>
            </w:r>
          </w:p>
        </w:tc>
      </w:tr>
      <w:tr w:rsidR="009114C2" w:rsidRPr="006327BE" w:rsidTr="00BE31A3">
        <w:trPr>
          <w:trHeight w:val="462"/>
          <w:jc w:val="center"/>
        </w:trPr>
        <w:tc>
          <w:tcPr>
            <w:tcW w:w="1227" w:type="pct"/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10:00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~10:30</w:t>
            </w:r>
            <w:r w:rsidRPr="0040426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(30分鐘)</w:t>
            </w:r>
          </w:p>
        </w:tc>
        <w:tc>
          <w:tcPr>
            <w:tcW w:w="3773" w:type="pct"/>
            <w:gridSpan w:val="2"/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報到</w:t>
            </w:r>
          </w:p>
        </w:tc>
      </w:tr>
      <w:tr w:rsidR="009114C2" w:rsidRPr="00435AEF" w:rsidTr="00BE31A3">
        <w:trPr>
          <w:trHeight w:val="496"/>
          <w:jc w:val="center"/>
        </w:trPr>
        <w:tc>
          <w:tcPr>
            <w:tcW w:w="1227" w:type="pct"/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10:30~10:35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(5</w:t>
            </w:r>
            <w:r w:rsidRPr="0040426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分鐘)</w:t>
            </w:r>
          </w:p>
        </w:tc>
        <w:tc>
          <w:tcPr>
            <w:tcW w:w="1240" w:type="pct"/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開幕典禮</w:t>
            </w:r>
          </w:p>
        </w:tc>
        <w:tc>
          <w:tcPr>
            <w:tcW w:w="2533" w:type="pct"/>
            <w:vAlign w:val="center"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長官致詞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</w:rPr>
              <w:t>教育部國民及學前教育署　黃子騰副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署長</w:t>
            </w:r>
          </w:p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sz w:val="22"/>
              </w:rPr>
              <w:t>教育部國民及學前教育署　許麗娟組長</w:t>
            </w:r>
          </w:p>
          <w:p w:rsidR="009114C2" w:rsidRDefault="009114C2" w:rsidP="00BE31A3">
            <w:pPr>
              <w:adjustRightInd w:val="0"/>
              <w:snapToGrid w:val="0"/>
              <w:spacing w:line="340" w:lineRule="exact"/>
              <w:ind w:left="1100" w:hangingChars="500" w:hanging="110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sz w:val="22"/>
              </w:rPr>
              <w:t>教育部國民及學前教育署　林祝里科長</w:t>
            </w:r>
          </w:p>
          <w:p w:rsidR="009114C2" w:rsidRPr="000910ED" w:rsidRDefault="009114C2" w:rsidP="00BE31A3">
            <w:pPr>
              <w:adjustRightInd w:val="0"/>
              <w:snapToGrid w:val="0"/>
              <w:spacing w:line="340" w:lineRule="exact"/>
              <w:ind w:left="1100" w:hangingChars="500" w:hanging="110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0426C">
              <w:rPr>
                <w:rFonts w:ascii="微軟正黑體" w:eastAsia="微軟正黑體" w:hAnsi="微軟正黑體" w:cs="Times New Roman" w:hint="eastAsia"/>
                <w:sz w:val="22"/>
              </w:rPr>
              <w:t>國立臺北教育大學  張新仁校長</w:t>
            </w:r>
          </w:p>
          <w:p w:rsidR="009114C2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40426C">
              <w:rPr>
                <w:rFonts w:ascii="微軟正黑體" w:eastAsia="微軟正黑體" w:hAnsi="微軟正黑體" w:cs="Times New Roman" w:hint="eastAsia"/>
                <w:sz w:val="22"/>
              </w:rPr>
              <w:t xml:space="preserve">國立臺北教育大學 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黃永和教授</w:t>
            </w:r>
          </w:p>
          <w:p w:rsidR="009114C2" w:rsidRPr="00435AEF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高雄市立前金國小</w:t>
            </w:r>
            <w:r w:rsidRPr="0040426C">
              <w:rPr>
                <w:rFonts w:ascii="微軟正黑體" w:eastAsia="微軟正黑體" w:hAnsi="微軟正黑體" w:cs="Times New Roman" w:hint="eastAsia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林美惠退休校長</w:t>
            </w:r>
          </w:p>
        </w:tc>
      </w:tr>
      <w:tr w:rsidR="009114C2" w:rsidRPr="0040426C" w:rsidTr="00BE31A3">
        <w:trPr>
          <w:trHeight w:val="496"/>
          <w:jc w:val="center"/>
        </w:trPr>
        <w:tc>
          <w:tcPr>
            <w:tcW w:w="1227" w:type="pct"/>
            <w:vAlign w:val="center"/>
          </w:tcPr>
          <w:p w:rsidR="009114C2" w:rsidRPr="0050454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10:35~10:45(1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0分鐘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1240" w:type="pct"/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分組合作學習</w:t>
            </w:r>
          </w:p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第二年推動成果回顧</w:t>
            </w:r>
          </w:p>
        </w:tc>
        <w:tc>
          <w:tcPr>
            <w:tcW w:w="2533" w:type="pct"/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ind w:left="1100" w:hangingChars="500" w:hanging="110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0426C">
              <w:rPr>
                <w:rFonts w:ascii="微軟正黑體" w:eastAsia="微軟正黑體" w:hAnsi="微軟正黑體" w:cs="Times New Roman" w:hint="eastAsia"/>
                <w:sz w:val="22"/>
              </w:rPr>
              <w:t>國立臺北教育大學  張新仁 校長</w:t>
            </w:r>
            <w:r w:rsidRPr="0040426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　</w:t>
            </w:r>
          </w:p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華康正顏楷體W5" w:eastAsia="華康正顏楷體W5" w:hAnsi="華康正顏楷體W5"/>
                <w:color w:val="000000" w:themeColor="text1"/>
                <w:sz w:val="22"/>
              </w:rPr>
            </w:pPr>
            <w:r w:rsidRPr="0040426C">
              <w:rPr>
                <w:rFonts w:ascii="華康正顏楷體W5" w:eastAsia="華康正顏楷體W5" w:hAnsi="華康正顏楷體W5" w:hint="eastAsia"/>
                <w:sz w:val="22"/>
              </w:rPr>
              <w:t>回顧分組合作學習實施成效</w:t>
            </w:r>
          </w:p>
        </w:tc>
      </w:tr>
      <w:tr w:rsidR="009114C2" w:rsidRPr="00FE180A" w:rsidTr="00BE31A3">
        <w:trPr>
          <w:trHeight w:val="96"/>
          <w:jc w:val="center"/>
        </w:trPr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10:45</w:t>
            </w:r>
            <w:r w:rsidRPr="0040426C">
              <w:rPr>
                <w:rFonts w:ascii="微軟正黑體" w:eastAsia="微軟正黑體" w:hAnsi="微軟正黑體"/>
                <w:sz w:val="22"/>
              </w:rPr>
              <w:t>~1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40426C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10(25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分鐘)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6327BE">
              <w:rPr>
                <w:rFonts w:ascii="Times New Roman" w:eastAsia="微軟正黑體" w:hAnsi="Times New Roman" w:cs="Times New Roman" w:hint="eastAsia"/>
                <w:b/>
                <w:sz w:val="22"/>
              </w:rPr>
              <w:t>成功案例教師</w:t>
            </w:r>
          </w:p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Times New Roman" w:eastAsia="微軟正黑體" w:hAnsi="Times New Roman" w:cs="Times New Roman" w:hint="eastAsia"/>
                <w:b/>
                <w:sz w:val="22"/>
              </w:rPr>
              <w:t>教學演示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vAlign w:val="center"/>
          </w:tcPr>
          <w:p w:rsidR="009114C2" w:rsidRPr="00FE180A" w:rsidRDefault="009114C2" w:rsidP="00BE31A3">
            <w:pPr>
              <w:adjustRightInd w:val="0"/>
              <w:snapToGrid w:val="0"/>
              <w:spacing w:line="340" w:lineRule="exact"/>
              <w:ind w:left="1100" w:hangingChars="500" w:hanging="110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新北市樟樹國民中學 廖淑惠 老師</w:t>
            </w:r>
          </w:p>
        </w:tc>
      </w:tr>
      <w:tr w:rsidR="009114C2" w:rsidRPr="00FE180A" w:rsidTr="00BE31A3">
        <w:trPr>
          <w:trHeight w:val="299"/>
          <w:jc w:val="center"/>
        </w:trPr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11:10~11:2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</w:rPr>
              <w:t>(10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分鐘)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cs="Times New Roman" w:hint="eastAsia"/>
                <w:b/>
                <w:sz w:val="22"/>
              </w:rPr>
              <w:t>教師的成長與改變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vAlign w:val="center"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新北市樟樹國民中學 鄒慶德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校長</w:t>
            </w:r>
          </w:p>
          <w:p w:rsidR="009114C2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新北市樟樹國民中學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呂秀卿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教務主任</w:t>
            </w:r>
          </w:p>
          <w:p w:rsidR="009114C2" w:rsidRPr="00FE180A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新北市樟樹國民中學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廖淑惠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老師</w:t>
            </w:r>
          </w:p>
        </w:tc>
      </w:tr>
      <w:tr w:rsidR="009114C2" w:rsidRPr="00FE180A" w:rsidTr="00BE31A3">
        <w:trPr>
          <w:trHeight w:val="299"/>
          <w:jc w:val="center"/>
        </w:trPr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11:20~11:3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0(10分鐘)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6327BE">
              <w:rPr>
                <w:rFonts w:ascii="微軟正黑體" w:eastAsia="微軟正黑體" w:hAnsi="微軟正黑體" w:cs="Times New Roman" w:hint="eastAsia"/>
                <w:b/>
                <w:sz w:val="22"/>
              </w:rPr>
              <w:t>學生的進步與改變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vAlign w:val="center"/>
          </w:tcPr>
          <w:p w:rsidR="009114C2" w:rsidRPr="00FE7785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E180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新北市樟樹國民中</w:t>
            </w:r>
            <w:r w:rsidRPr="00FE778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 </w:t>
            </w:r>
            <w:r w:rsidRPr="00FE7785">
              <w:rPr>
                <w:rFonts w:ascii="微軟正黑體" w:eastAsia="微軟正黑體" w:hAnsi="微軟正黑體" w:cs="Arial"/>
                <w:color w:val="222222"/>
                <w:sz w:val="22"/>
                <w:shd w:val="clear" w:color="auto" w:fill="FFFFFF"/>
              </w:rPr>
              <w:t>李侑璇</w:t>
            </w:r>
            <w:r>
              <w:rPr>
                <w:rFonts w:ascii="微軟正黑體" w:eastAsia="微軟正黑體" w:hAnsi="微軟正黑體" w:cs="Arial" w:hint="eastAsia"/>
                <w:color w:val="222222"/>
                <w:sz w:val="22"/>
                <w:shd w:val="clear" w:color="auto" w:fill="FFFFFF"/>
              </w:rPr>
              <w:t xml:space="preserve"> 同學</w:t>
            </w:r>
          </w:p>
          <w:p w:rsidR="009114C2" w:rsidRPr="00FE180A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E778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新北市樟樹國民中學 </w:t>
            </w:r>
            <w:r w:rsidRPr="00FE7785">
              <w:rPr>
                <w:rFonts w:ascii="微軟正黑體" w:eastAsia="微軟正黑體" w:hAnsi="微軟正黑體" w:cs="Arial"/>
                <w:color w:val="222222"/>
                <w:sz w:val="22"/>
                <w:shd w:val="clear" w:color="auto" w:fill="FFFFFF"/>
              </w:rPr>
              <w:t>黃馨儀</w:t>
            </w:r>
            <w:r>
              <w:rPr>
                <w:rFonts w:ascii="微軟正黑體" w:eastAsia="微軟正黑體" w:hAnsi="微軟正黑體" w:cs="Arial" w:hint="eastAsia"/>
                <w:color w:val="222222"/>
                <w:sz w:val="22"/>
                <w:shd w:val="clear" w:color="auto" w:fill="FFFFFF"/>
              </w:rPr>
              <w:t xml:space="preserve"> 同學</w:t>
            </w:r>
          </w:p>
        </w:tc>
      </w:tr>
      <w:tr w:rsidR="009114C2" w:rsidRPr="0040426C" w:rsidTr="00BE31A3">
        <w:trPr>
          <w:trHeight w:val="299"/>
          <w:jc w:val="center"/>
        </w:trPr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11:30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~12:00</w:t>
            </w:r>
            <w:r>
              <w:rPr>
                <w:rFonts w:ascii="微軟正黑體" w:eastAsia="微軟正黑體" w:hAnsi="微軟正黑體" w:hint="eastAsia"/>
                <w:sz w:val="22"/>
              </w:rPr>
              <w:t>(2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0分鐘)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2"/>
              </w:rPr>
            </w:pPr>
            <w:r w:rsidRPr="006327BE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2"/>
              </w:rPr>
              <w:t>記者提問及意見交流</w:t>
            </w:r>
          </w:p>
        </w:tc>
        <w:tc>
          <w:tcPr>
            <w:tcW w:w="2533" w:type="pct"/>
            <w:tcBorders>
              <w:bottom w:val="single" w:sz="4" w:space="0" w:color="auto"/>
            </w:tcBorders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sz w:val="22"/>
              </w:rPr>
              <w:t>教育部國民及學前教育署　吳</w:t>
            </w:r>
            <w:r>
              <w:rPr>
                <w:rFonts w:ascii="微軟正黑體" w:eastAsia="微軟正黑體" w:hAnsi="微軟正黑體" w:hint="eastAsia"/>
                <w:sz w:val="22"/>
              </w:rPr>
              <w:t>清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山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署長</w:t>
            </w:r>
          </w:p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sz w:val="22"/>
              </w:rPr>
              <w:t>教育部國民及學前教育署　許麗娟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組長</w:t>
            </w:r>
          </w:p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sz w:val="22"/>
              </w:rPr>
              <w:t>教育部國民及學前教育署　林祝里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40426C">
              <w:rPr>
                <w:rFonts w:ascii="微軟正黑體" w:eastAsia="微軟正黑體" w:hAnsi="微軟正黑體" w:hint="eastAsia"/>
                <w:sz w:val="22"/>
              </w:rPr>
              <w:t>科長</w:t>
            </w:r>
          </w:p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40426C">
              <w:rPr>
                <w:rFonts w:ascii="微軟正黑體" w:eastAsia="微軟正黑體" w:hAnsi="微軟正黑體" w:cs="Times New Roman" w:hint="eastAsia"/>
                <w:sz w:val="22"/>
              </w:rPr>
              <w:t>國立臺北教育大學  張新仁 校長</w:t>
            </w:r>
          </w:p>
        </w:tc>
      </w:tr>
      <w:tr w:rsidR="009114C2" w:rsidRPr="006327BE" w:rsidTr="00BE31A3">
        <w:trPr>
          <w:jc w:val="center"/>
        </w:trPr>
        <w:tc>
          <w:tcPr>
            <w:tcW w:w="1227" w:type="pct"/>
            <w:shd w:val="clear" w:color="auto" w:fill="FDE9D9" w:themeFill="accent6" w:themeFillTint="33"/>
            <w:vAlign w:val="center"/>
          </w:tcPr>
          <w:p w:rsidR="009114C2" w:rsidRPr="0040426C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0426C">
              <w:rPr>
                <w:rFonts w:ascii="微軟正黑體" w:eastAsia="微軟正黑體" w:hAnsi="微軟正黑體" w:hint="eastAsia"/>
                <w:sz w:val="22"/>
              </w:rPr>
              <w:t>12:00~</w:t>
            </w:r>
            <w:r>
              <w:rPr>
                <w:rFonts w:ascii="微軟正黑體" w:eastAsia="微軟正黑體" w:hAnsi="微軟正黑體" w:hint="eastAsia"/>
                <w:sz w:val="22"/>
              </w:rPr>
              <w:t>13:00(60分鐘)</w:t>
            </w:r>
          </w:p>
        </w:tc>
        <w:tc>
          <w:tcPr>
            <w:tcW w:w="3773" w:type="pct"/>
            <w:gridSpan w:val="2"/>
            <w:shd w:val="clear" w:color="auto" w:fill="FDE9D9" w:themeFill="accent6" w:themeFillTint="33"/>
            <w:vAlign w:val="center"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6327BE">
              <w:rPr>
                <w:rFonts w:ascii="微軟正黑體" w:eastAsia="微軟正黑體" w:hAnsi="微軟正黑體" w:cs="Times New Roman" w:hint="eastAsia"/>
                <w:b/>
                <w:sz w:val="22"/>
              </w:rPr>
              <w:t>記者會結束 &amp; 午餐時間</w:t>
            </w:r>
          </w:p>
          <w:p w:rsidR="009114C2" w:rsidRPr="006327BE" w:rsidRDefault="009114C2" w:rsidP="00781B0B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（地點：活動中心</w:t>
            </w:r>
            <w:r w:rsidR="0036309F">
              <w:rPr>
                <w:rFonts w:ascii="微軟正黑體" w:eastAsia="微軟正黑體" w:hAnsi="微軟正黑體" w:hint="eastAsia"/>
                <w:b/>
                <w:sz w:val="22"/>
              </w:rPr>
              <w:t>406</w:t>
            </w: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）</w:t>
            </w:r>
          </w:p>
        </w:tc>
      </w:tr>
      <w:tr w:rsidR="009114C2" w:rsidRPr="001032F4" w:rsidTr="00BE31A3">
        <w:trPr>
          <w:trHeight w:val="690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13:00~14:00(60分鐘)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學校運作教師社群推動</w:t>
            </w:r>
          </w:p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合作學習的方法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4C2" w:rsidRPr="001032F4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E1970">
              <w:rPr>
                <w:rFonts w:ascii="微軟正黑體" w:eastAsia="微軟正黑體" w:hAnsi="微軟正黑體" w:cs="Times New Roman" w:hint="eastAsia"/>
                <w:sz w:val="22"/>
              </w:rPr>
              <w:t>新北市坪林國中團隊</w:t>
            </w:r>
          </w:p>
        </w:tc>
      </w:tr>
      <w:tr w:rsidR="009114C2" w:rsidRPr="006327BE" w:rsidTr="00BE31A3">
        <w:trPr>
          <w:trHeight w:val="325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14:00~14:10(10分鐘)</w:t>
            </w:r>
          </w:p>
        </w:tc>
        <w:tc>
          <w:tcPr>
            <w:tcW w:w="3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休息時間</w:t>
            </w:r>
          </w:p>
        </w:tc>
      </w:tr>
      <w:tr w:rsidR="009114C2" w:rsidTr="00BE31A3">
        <w:trPr>
          <w:trHeight w:val="262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14:10~15:50(100分鐘)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成功案例教師</w:t>
            </w:r>
          </w:p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教學經驗分享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0B" w:rsidRPr="004B553C" w:rsidRDefault="00781B0B" w:rsidP="00781B0B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553C">
              <w:rPr>
                <w:rFonts w:ascii="微軟正黑體" w:eastAsia="微軟正黑體" w:hAnsi="微軟正黑體" w:hint="eastAsia"/>
                <w:sz w:val="22"/>
              </w:rPr>
              <w:t xml:space="preserve">【國文】桃園縣幸福國中　</w:t>
            </w:r>
            <w:r w:rsidRPr="001746CE">
              <w:rPr>
                <w:rFonts w:ascii="微軟正黑體" w:eastAsia="微軟正黑體" w:hAnsi="微軟正黑體" w:hint="eastAsia"/>
                <w:sz w:val="22"/>
                <w:shd w:val="clear" w:color="auto" w:fill="FFFFFF" w:themeFill="background1"/>
              </w:rPr>
              <w:t>曾佳鈺　老師</w:t>
            </w:r>
          </w:p>
          <w:p w:rsidR="00781B0B" w:rsidRPr="004B553C" w:rsidRDefault="00781B0B" w:rsidP="00781B0B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553C">
              <w:rPr>
                <w:rFonts w:ascii="微軟正黑體" w:eastAsia="微軟正黑體" w:hAnsi="微軟正黑體" w:hint="eastAsia"/>
                <w:sz w:val="22"/>
              </w:rPr>
              <w:t>【英語】台北市興雅國中　林淑媛　老師</w:t>
            </w:r>
          </w:p>
          <w:p w:rsidR="00781B0B" w:rsidRPr="004B553C" w:rsidRDefault="00781B0B" w:rsidP="00781B0B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553C">
              <w:rPr>
                <w:rFonts w:ascii="微軟正黑體" w:eastAsia="微軟正黑體" w:hAnsi="微軟正黑體" w:hint="eastAsia"/>
                <w:sz w:val="22"/>
              </w:rPr>
              <w:t>【數學】台中市東峰國中　蔡玉玲　校長</w:t>
            </w:r>
          </w:p>
          <w:p w:rsidR="00781B0B" w:rsidRPr="004B553C" w:rsidRDefault="00781B0B" w:rsidP="00781B0B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81B0B">
              <w:rPr>
                <w:rFonts w:ascii="微軟正黑體" w:eastAsia="微軟正黑體" w:hAnsi="微軟正黑體" w:hint="eastAsia"/>
                <w:sz w:val="22"/>
              </w:rPr>
              <w:t>【社會】台中市崇倫國中　商永齡　老師</w:t>
            </w:r>
          </w:p>
          <w:p w:rsidR="009114C2" w:rsidRDefault="00781B0B" w:rsidP="00781B0B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4B553C">
              <w:rPr>
                <w:rFonts w:ascii="微軟正黑體" w:eastAsia="微軟正黑體" w:hAnsi="微軟正黑體" w:hint="eastAsia"/>
                <w:sz w:val="22"/>
              </w:rPr>
              <w:t xml:space="preserve">【自然】新北市積穗國中　</w:t>
            </w:r>
            <w:r w:rsidRPr="00867D02">
              <w:rPr>
                <w:rFonts w:ascii="微軟正黑體" w:eastAsia="微軟正黑體" w:hAnsi="微軟正黑體" w:hint="eastAsia"/>
                <w:sz w:val="22"/>
              </w:rPr>
              <w:t>賴維正　老師</w:t>
            </w:r>
          </w:p>
        </w:tc>
      </w:tr>
      <w:tr w:rsidR="009114C2" w:rsidRPr="006327BE" w:rsidTr="00BE31A3">
        <w:trPr>
          <w:trHeight w:val="96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15:50~16:00(10分鐘)</w:t>
            </w:r>
          </w:p>
        </w:tc>
        <w:tc>
          <w:tcPr>
            <w:tcW w:w="3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休息時間</w:t>
            </w:r>
          </w:p>
        </w:tc>
      </w:tr>
      <w:tr w:rsidR="009114C2" w:rsidTr="00BE31A3">
        <w:trPr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16:00~16:30(30分鐘)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327BE">
              <w:rPr>
                <w:rFonts w:ascii="微軟正黑體" w:eastAsia="微軟正黑體" w:hAnsi="微軟正黑體" w:hint="eastAsia"/>
                <w:b/>
                <w:sz w:val="22"/>
              </w:rPr>
              <w:t>綜合座談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國立臺北教育大學  張新仁 校長</w:t>
            </w:r>
          </w:p>
          <w:p w:rsidR="009114C2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國立臺北教育大學  田耐青 教授</w:t>
            </w:r>
          </w:p>
          <w:p w:rsidR="009114C2" w:rsidRDefault="009114C2" w:rsidP="00BE31A3">
            <w:pPr>
              <w:adjustRightInd w:val="0"/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高雄市立前金國小　林美惠 退休校長</w:t>
            </w:r>
          </w:p>
        </w:tc>
      </w:tr>
      <w:tr w:rsidR="009114C2" w:rsidRPr="006327BE" w:rsidTr="00BE31A3">
        <w:trPr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2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16:30~</w:t>
            </w:r>
          </w:p>
        </w:tc>
        <w:tc>
          <w:tcPr>
            <w:tcW w:w="3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C2" w:rsidRPr="006327BE" w:rsidRDefault="009114C2" w:rsidP="00BE31A3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6327BE">
              <w:rPr>
                <w:rFonts w:ascii="微軟正黑體" w:eastAsia="微軟正黑體" w:hAnsi="微軟正黑體" w:cs="Times New Roman" w:hint="eastAsia"/>
                <w:b/>
                <w:sz w:val="22"/>
              </w:rPr>
              <w:t>閉幕</w:t>
            </w:r>
          </w:p>
        </w:tc>
      </w:tr>
    </w:tbl>
    <w:p w:rsidR="00894998" w:rsidRPr="006E33B5" w:rsidRDefault="00DE1D3B" w:rsidP="006E33B5">
      <w:pPr>
        <w:adjustRightInd w:val="0"/>
        <w:snapToGrid w:val="0"/>
        <w:spacing w:beforeLines="50" w:before="180" w:afterLines="50" w:after="180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6"/>
        </w:rPr>
        <w:lastRenderedPageBreak/>
        <w:t>柒</w:t>
      </w:r>
      <w:r w:rsidR="00175058" w:rsidRPr="00DE1D3B">
        <w:rPr>
          <w:rFonts w:ascii="Times New Roman" w:eastAsia="微軟正黑體" w:hAnsi="Times New Roman" w:cs="Times New Roman"/>
          <w:b/>
          <w:sz w:val="28"/>
          <w:szCs w:val="26"/>
        </w:rPr>
        <w:t>、注意事項</w:t>
      </w:r>
    </w:p>
    <w:p w:rsidR="00645CF8" w:rsidRDefault="00BF5512" w:rsidP="00645CF8">
      <w:pPr>
        <w:pStyle w:val="a3"/>
        <w:widowControl/>
        <w:numPr>
          <w:ilvl w:val="0"/>
          <w:numId w:val="10"/>
        </w:numPr>
        <w:adjustRightInd w:val="0"/>
        <w:snapToGrid w:val="0"/>
        <w:ind w:leftChars="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DE1D3B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為響應紙杯減量，請參與人員自備環保杯。</w:t>
      </w:r>
    </w:p>
    <w:p w:rsidR="00645CF8" w:rsidRPr="00645CF8" w:rsidRDefault="00645CF8" w:rsidP="00645CF8">
      <w:pPr>
        <w:pStyle w:val="a3"/>
        <w:widowControl/>
        <w:numPr>
          <w:ilvl w:val="0"/>
          <w:numId w:val="10"/>
        </w:numPr>
        <w:adjustRightInd w:val="0"/>
        <w:snapToGrid w:val="0"/>
        <w:ind w:leftChars="0"/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</w:pPr>
      <w:r w:rsidRPr="00645CF8">
        <w:rPr>
          <w:rFonts w:ascii="Times New Roman" w:eastAsia="微軟正黑體" w:hAnsi="Times New Roman" w:cs="Times New Roman"/>
          <w:color w:val="000000"/>
          <w:szCs w:val="26"/>
          <w:shd w:val="clear" w:color="auto" w:fill="FFFFFF"/>
        </w:rPr>
        <w:t>成果發表會非研習課程，本計畫將不會核發研習時數。</w:t>
      </w:r>
    </w:p>
    <w:p w:rsidR="009114C2" w:rsidRDefault="009114C2" w:rsidP="00DE1D3B">
      <w:pPr>
        <w:adjustRightInd w:val="0"/>
        <w:snapToGrid w:val="0"/>
        <w:spacing w:beforeLines="50" w:before="180" w:afterLines="50" w:after="180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</w:p>
    <w:p w:rsidR="006E70A7" w:rsidRPr="00DE1D3B" w:rsidRDefault="00DE1D3B" w:rsidP="00DE1D3B">
      <w:pPr>
        <w:adjustRightInd w:val="0"/>
        <w:snapToGrid w:val="0"/>
        <w:spacing w:beforeLines="50" w:before="180" w:afterLines="50" w:after="180"/>
        <w:jc w:val="both"/>
        <w:rPr>
          <w:rFonts w:ascii="Times New Roman" w:eastAsia="微軟正黑體" w:hAnsi="Times New Roman" w:cs="Times New Roman"/>
          <w:b/>
          <w:sz w:val="28"/>
          <w:szCs w:val="26"/>
        </w:rPr>
      </w:pPr>
      <w:r>
        <w:rPr>
          <w:rFonts w:ascii="Times New Roman" w:eastAsia="微軟正黑體" w:hAnsi="Times New Roman" w:cs="Times New Roman" w:hint="eastAsia"/>
          <w:b/>
          <w:sz w:val="28"/>
          <w:szCs w:val="26"/>
        </w:rPr>
        <w:t>捌</w:t>
      </w:r>
      <w:r w:rsidR="006E70A7" w:rsidRPr="00DE1D3B">
        <w:rPr>
          <w:rFonts w:ascii="Times New Roman" w:eastAsia="微軟正黑體" w:hAnsi="Times New Roman" w:cs="Times New Roman"/>
          <w:b/>
          <w:sz w:val="28"/>
          <w:szCs w:val="26"/>
        </w:rPr>
        <w:t>、校園地圖</w:t>
      </w:r>
    </w:p>
    <w:p w:rsidR="00DE1D3B" w:rsidRDefault="00645CF8" w:rsidP="00B4014F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Times New Roman" w:eastAsia="華康儷中黑" w:hAnsi="Times New Roman" w:cs="Times New Roman"/>
          <w:color w:val="000000"/>
        </w:rPr>
      </w:pPr>
      <w:r>
        <w:rPr>
          <w:rFonts w:ascii="Times New Roman" w:eastAsia="華康儷中黑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7931B" wp14:editId="1DF35A06">
                <wp:simplePos x="0" y="0"/>
                <wp:positionH relativeFrom="column">
                  <wp:posOffset>1700806</wp:posOffset>
                </wp:positionH>
                <wp:positionV relativeFrom="paragraph">
                  <wp:posOffset>6262370</wp:posOffset>
                </wp:positionV>
                <wp:extent cx="743585" cy="0"/>
                <wp:effectExtent l="0" t="19050" r="1841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E6B64" id="直線接點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pt,493.1pt" to="192.45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" strokecolor="red" strokeweight="3pt"/>
            </w:pict>
          </mc:Fallback>
        </mc:AlternateContent>
      </w:r>
      <w:r>
        <w:rPr>
          <w:rFonts w:ascii="Times New Roman" w:eastAsia="華康儷中黑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75C34" wp14:editId="490932AC">
                <wp:simplePos x="0" y="0"/>
                <wp:positionH relativeFrom="column">
                  <wp:posOffset>4123894</wp:posOffset>
                </wp:positionH>
                <wp:positionV relativeFrom="paragraph">
                  <wp:posOffset>6269285</wp:posOffset>
                </wp:positionV>
                <wp:extent cx="796954" cy="16510"/>
                <wp:effectExtent l="0" t="19050" r="22225" b="4064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54" cy="165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7DC23F"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7pt,493.65pt" to="387.45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" strokecolor="white [3212]" strokeweight="4.5pt"/>
            </w:pict>
          </mc:Fallback>
        </mc:AlternateContent>
      </w:r>
      <w:r w:rsidR="00B4014F">
        <w:rPr>
          <w:rFonts w:ascii="Times New Roman" w:eastAsia="華康儷中黑" w:hAnsi="Times New Roman" w:cs="Times New Roman"/>
          <w:noProof/>
          <w:color w:val="000000"/>
        </w:rPr>
        <w:drawing>
          <wp:inline distT="0" distB="0" distL="0" distR="0" wp14:anchorId="00E9CD06" wp14:editId="246B1F2C">
            <wp:extent cx="6117771" cy="654353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4" cy="653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71" w:rsidRDefault="00E04071">
      <w:pPr>
        <w:widowControl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7"/>
        </w:rPr>
      </w:pPr>
      <w:r>
        <w:rPr>
          <w:rFonts w:ascii="微軟正黑體" w:eastAsia="微軟正黑體" w:hAnsi="微軟正黑體"/>
          <w:b/>
          <w:color w:val="000000"/>
          <w:sz w:val="28"/>
          <w:szCs w:val="27"/>
        </w:rPr>
        <w:br w:type="page"/>
      </w:r>
    </w:p>
    <w:p w:rsidR="00DE1D3B" w:rsidRPr="00FD6415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/>
          <w:color w:val="000000"/>
          <w:sz w:val="28"/>
          <w:szCs w:val="27"/>
        </w:rPr>
      </w:pPr>
      <w:r w:rsidRPr="00FD6415"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lastRenderedPageBreak/>
        <w:t>附件一、國立臺北教育大學交通位置圖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DE1D3B" w:rsidRPr="00FD6415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地址：106 台灣台北市大安區和平東路二段134號</w:t>
      </w:r>
    </w:p>
    <w:p w:rsidR="00DE1D3B" w:rsidRPr="00FD6415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捷運：捷運木柵線科技大樓站下車，往和平東路二段走，約2分鐘路程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公車：國立臺北教育大學站 - 復興南路：237、295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　　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國立臺北教育大學站 - 和平東路：15、15(區間車)、15(萬美線)、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18、211、235、284、284(直行)、3、52、662、663、685、</w:t>
      </w:r>
    </w:p>
    <w:p w:rsidR="00DE1D3B" w:rsidRDefault="00DE1D3B" w:rsidP="00300E15">
      <w:pPr>
        <w:pStyle w:val="Web"/>
        <w:shd w:val="clear" w:color="auto" w:fill="FFFFFF"/>
        <w:adjustRightInd w:val="0"/>
        <w:snapToGrid w:val="0"/>
        <w:spacing w:before="0" w:beforeAutospacing="0" w:afterLines="100" w:after="36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72、和平幹線</w:t>
      </w:r>
    </w:p>
    <w:p w:rsid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6FE0F03" wp14:editId="6B92B8E2">
            <wp:extent cx="4572000" cy="4561840"/>
            <wp:effectExtent l="0" t="0" r="0" b="0"/>
            <wp:docPr id="2" name="圖片 2" descr="捷運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捷運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3B" w:rsidRPr="00DE1D3B" w:rsidRDefault="00DE1D3B" w:rsidP="00DE1D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華康儷中黑" w:hAnsi="Times New Roman" w:cs="Times New Roman"/>
          <w:color w:val="000000"/>
        </w:rPr>
      </w:pPr>
    </w:p>
    <w:sectPr w:rsidR="00DE1D3B" w:rsidRPr="00DE1D3B" w:rsidSect="00FA223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4D" w:rsidRDefault="00F71A4D" w:rsidP="001560A3">
      <w:r>
        <w:separator/>
      </w:r>
    </w:p>
  </w:endnote>
  <w:endnote w:type="continuationSeparator" w:id="0">
    <w:p w:rsidR="00F71A4D" w:rsidRDefault="00F71A4D" w:rsidP="001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4D" w:rsidRDefault="00F71A4D" w:rsidP="001560A3">
      <w:r>
        <w:separator/>
      </w:r>
    </w:p>
  </w:footnote>
  <w:footnote w:type="continuationSeparator" w:id="0">
    <w:p w:rsidR="00F71A4D" w:rsidRDefault="00F71A4D" w:rsidP="0015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9DF"/>
    <w:multiLevelType w:val="hybridMultilevel"/>
    <w:tmpl w:val="8E3AD6BC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425F07"/>
    <w:multiLevelType w:val="hybridMultilevel"/>
    <w:tmpl w:val="408ED51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30161A5C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6992F2B"/>
    <w:multiLevelType w:val="hybridMultilevel"/>
    <w:tmpl w:val="9CF4DA94"/>
    <w:lvl w:ilvl="0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3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4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5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BC5B3D"/>
    <w:multiLevelType w:val="hybridMultilevel"/>
    <w:tmpl w:val="1DCC9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8B5F4A"/>
    <w:multiLevelType w:val="hybridMultilevel"/>
    <w:tmpl w:val="95404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B95794"/>
    <w:multiLevelType w:val="hybridMultilevel"/>
    <w:tmpl w:val="42FABD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3387B61"/>
    <w:multiLevelType w:val="hybridMultilevel"/>
    <w:tmpl w:val="67164F7A"/>
    <w:lvl w:ilvl="0" w:tplc="7D185DAE">
      <w:start w:val="1"/>
      <w:numFmt w:val="decimal"/>
      <w:lvlText w:val="%1."/>
      <w:lvlJc w:val="left"/>
      <w:pPr>
        <w:ind w:left="84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C8011A"/>
    <w:multiLevelType w:val="hybridMultilevel"/>
    <w:tmpl w:val="04B03F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494349E7"/>
    <w:multiLevelType w:val="hybridMultilevel"/>
    <w:tmpl w:val="489E6270"/>
    <w:lvl w:ilvl="0" w:tplc="C9C88AD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2327CF"/>
    <w:multiLevelType w:val="hybridMultilevel"/>
    <w:tmpl w:val="9A9E0A6E"/>
    <w:lvl w:ilvl="0" w:tplc="A3A6A03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B"/>
    <w:rsid w:val="00060F40"/>
    <w:rsid w:val="00061353"/>
    <w:rsid w:val="00063B5B"/>
    <w:rsid w:val="0006619A"/>
    <w:rsid w:val="0006736B"/>
    <w:rsid w:val="00086325"/>
    <w:rsid w:val="000D4C12"/>
    <w:rsid w:val="000F3499"/>
    <w:rsid w:val="0015575E"/>
    <w:rsid w:val="001560A3"/>
    <w:rsid w:val="00175058"/>
    <w:rsid w:val="00197559"/>
    <w:rsid w:val="001B47D9"/>
    <w:rsid w:val="001C2F5E"/>
    <w:rsid w:val="001D2403"/>
    <w:rsid w:val="001E126F"/>
    <w:rsid w:val="001F2771"/>
    <w:rsid w:val="002044C2"/>
    <w:rsid w:val="00204EEB"/>
    <w:rsid w:val="002417E2"/>
    <w:rsid w:val="00247022"/>
    <w:rsid w:val="00255D31"/>
    <w:rsid w:val="00264DF2"/>
    <w:rsid w:val="00280B00"/>
    <w:rsid w:val="00291AFB"/>
    <w:rsid w:val="00294CE0"/>
    <w:rsid w:val="002A7840"/>
    <w:rsid w:val="002B0BA9"/>
    <w:rsid w:val="002B7535"/>
    <w:rsid w:val="002C40C1"/>
    <w:rsid w:val="002D3406"/>
    <w:rsid w:val="002D65E8"/>
    <w:rsid w:val="002E0694"/>
    <w:rsid w:val="002F25F6"/>
    <w:rsid w:val="00300E15"/>
    <w:rsid w:val="0030213F"/>
    <w:rsid w:val="00323ED0"/>
    <w:rsid w:val="00334F77"/>
    <w:rsid w:val="0036309F"/>
    <w:rsid w:val="003B7DAE"/>
    <w:rsid w:val="003E5C42"/>
    <w:rsid w:val="004308F0"/>
    <w:rsid w:val="00432C04"/>
    <w:rsid w:val="0045135D"/>
    <w:rsid w:val="0045458E"/>
    <w:rsid w:val="00455511"/>
    <w:rsid w:val="004A0E64"/>
    <w:rsid w:val="004A4D50"/>
    <w:rsid w:val="004C213D"/>
    <w:rsid w:val="005125CE"/>
    <w:rsid w:val="00524979"/>
    <w:rsid w:val="0053490D"/>
    <w:rsid w:val="00535EF4"/>
    <w:rsid w:val="0055112E"/>
    <w:rsid w:val="00552F43"/>
    <w:rsid w:val="00581B7A"/>
    <w:rsid w:val="00583FA5"/>
    <w:rsid w:val="005A0ADD"/>
    <w:rsid w:val="005D1FC7"/>
    <w:rsid w:val="005E3C33"/>
    <w:rsid w:val="00621E0C"/>
    <w:rsid w:val="00636388"/>
    <w:rsid w:val="00641BCE"/>
    <w:rsid w:val="00645CF8"/>
    <w:rsid w:val="006505CC"/>
    <w:rsid w:val="00656063"/>
    <w:rsid w:val="006746CA"/>
    <w:rsid w:val="006B12A5"/>
    <w:rsid w:val="006C1A24"/>
    <w:rsid w:val="006D68EB"/>
    <w:rsid w:val="006E33B5"/>
    <w:rsid w:val="006E70A7"/>
    <w:rsid w:val="00773175"/>
    <w:rsid w:val="007803B8"/>
    <w:rsid w:val="00781B0B"/>
    <w:rsid w:val="007B7D76"/>
    <w:rsid w:val="007E4095"/>
    <w:rsid w:val="007E664D"/>
    <w:rsid w:val="00810960"/>
    <w:rsid w:val="00814D90"/>
    <w:rsid w:val="00817637"/>
    <w:rsid w:val="00850654"/>
    <w:rsid w:val="00851A5F"/>
    <w:rsid w:val="008651C0"/>
    <w:rsid w:val="008838E6"/>
    <w:rsid w:val="00894998"/>
    <w:rsid w:val="008B0DFF"/>
    <w:rsid w:val="008D6C27"/>
    <w:rsid w:val="008F5246"/>
    <w:rsid w:val="008F7ED4"/>
    <w:rsid w:val="00901528"/>
    <w:rsid w:val="0090323C"/>
    <w:rsid w:val="009057DF"/>
    <w:rsid w:val="009114C2"/>
    <w:rsid w:val="009117EE"/>
    <w:rsid w:val="00934400"/>
    <w:rsid w:val="00944301"/>
    <w:rsid w:val="00945E75"/>
    <w:rsid w:val="00947A1D"/>
    <w:rsid w:val="009C18D7"/>
    <w:rsid w:val="009D2131"/>
    <w:rsid w:val="009D4F3D"/>
    <w:rsid w:val="009E7680"/>
    <w:rsid w:val="00A07568"/>
    <w:rsid w:val="00A13146"/>
    <w:rsid w:val="00A300A0"/>
    <w:rsid w:val="00A31329"/>
    <w:rsid w:val="00A31817"/>
    <w:rsid w:val="00A40961"/>
    <w:rsid w:val="00AA5723"/>
    <w:rsid w:val="00AA7709"/>
    <w:rsid w:val="00AC12DB"/>
    <w:rsid w:val="00AC4063"/>
    <w:rsid w:val="00B201B6"/>
    <w:rsid w:val="00B273FD"/>
    <w:rsid w:val="00B31B10"/>
    <w:rsid w:val="00B4014F"/>
    <w:rsid w:val="00B5228C"/>
    <w:rsid w:val="00B558C0"/>
    <w:rsid w:val="00B57D01"/>
    <w:rsid w:val="00B80142"/>
    <w:rsid w:val="00B94BDB"/>
    <w:rsid w:val="00B961E3"/>
    <w:rsid w:val="00BA59B7"/>
    <w:rsid w:val="00BE3B5A"/>
    <w:rsid w:val="00BF5512"/>
    <w:rsid w:val="00C0405C"/>
    <w:rsid w:val="00C062BB"/>
    <w:rsid w:val="00C22305"/>
    <w:rsid w:val="00C40BDB"/>
    <w:rsid w:val="00C41CE8"/>
    <w:rsid w:val="00C4720A"/>
    <w:rsid w:val="00C76E71"/>
    <w:rsid w:val="00C87386"/>
    <w:rsid w:val="00C943AB"/>
    <w:rsid w:val="00CA7E76"/>
    <w:rsid w:val="00CD089C"/>
    <w:rsid w:val="00CD5300"/>
    <w:rsid w:val="00CE4832"/>
    <w:rsid w:val="00CF10D3"/>
    <w:rsid w:val="00D02C8D"/>
    <w:rsid w:val="00D12CC3"/>
    <w:rsid w:val="00D13F91"/>
    <w:rsid w:val="00D4112A"/>
    <w:rsid w:val="00D4457E"/>
    <w:rsid w:val="00D5323D"/>
    <w:rsid w:val="00D5517B"/>
    <w:rsid w:val="00D57EA6"/>
    <w:rsid w:val="00D71658"/>
    <w:rsid w:val="00D84FD6"/>
    <w:rsid w:val="00DC1A38"/>
    <w:rsid w:val="00DD315E"/>
    <w:rsid w:val="00DD41EC"/>
    <w:rsid w:val="00DE1D3B"/>
    <w:rsid w:val="00DF71AF"/>
    <w:rsid w:val="00E04071"/>
    <w:rsid w:val="00E05DF2"/>
    <w:rsid w:val="00E274AE"/>
    <w:rsid w:val="00E37475"/>
    <w:rsid w:val="00E53B76"/>
    <w:rsid w:val="00E80FAA"/>
    <w:rsid w:val="00E97061"/>
    <w:rsid w:val="00EA3CD4"/>
    <w:rsid w:val="00EC420E"/>
    <w:rsid w:val="00ED1107"/>
    <w:rsid w:val="00ED3214"/>
    <w:rsid w:val="00EF4AEC"/>
    <w:rsid w:val="00F30388"/>
    <w:rsid w:val="00F462D9"/>
    <w:rsid w:val="00F46817"/>
    <w:rsid w:val="00F630FA"/>
    <w:rsid w:val="00F658FB"/>
    <w:rsid w:val="00F66FF5"/>
    <w:rsid w:val="00F71A4D"/>
    <w:rsid w:val="00F93C67"/>
    <w:rsid w:val="00FA2238"/>
    <w:rsid w:val="00FA611A"/>
    <w:rsid w:val="00FB0E68"/>
    <w:rsid w:val="00FC760F"/>
    <w:rsid w:val="00FD6415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CB530-9D64-4462-97F7-C5C258AA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8FB"/>
  </w:style>
  <w:style w:type="paragraph" w:styleId="Web">
    <w:name w:val="Normal (Web)"/>
    <w:basedOn w:val="a"/>
    <w:uiPriority w:val="99"/>
    <w:unhideWhenUsed/>
    <w:rsid w:val="00F65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658FB"/>
    <w:pPr>
      <w:ind w:leftChars="200" w:left="480"/>
    </w:pPr>
  </w:style>
  <w:style w:type="table" w:styleId="a4">
    <w:name w:val="Table Grid"/>
    <w:basedOn w:val="a1"/>
    <w:uiPriority w:val="59"/>
    <w:rsid w:val="00F6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75058"/>
    <w:rPr>
      <w:rFonts w:ascii="Calibri" w:eastAsia="新細明體" w:hAnsi="Calibri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64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60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0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C4FC-52C5-408B-A3EC-13800AE0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吳俊慶</cp:lastModifiedBy>
  <cp:revision>2</cp:revision>
  <cp:lastPrinted>2013-03-15T10:59:00Z</cp:lastPrinted>
  <dcterms:created xsi:type="dcterms:W3CDTF">2014-06-23T02:14:00Z</dcterms:created>
  <dcterms:modified xsi:type="dcterms:W3CDTF">2014-06-23T02:14:00Z</dcterms:modified>
</cp:coreProperties>
</file>