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DE342" w14:textId="77777777" w:rsidR="00724A6A" w:rsidRPr="00927767" w:rsidRDefault="00724A6A" w:rsidP="00724A6A">
      <w:pPr>
        <w:jc w:val="center"/>
        <w:rPr>
          <w:rFonts w:ascii="Times New Roman" w:eastAsia="標楷體" w:hAnsi="Times New Roman"/>
          <w:b/>
          <w:sz w:val="32"/>
        </w:rPr>
      </w:pPr>
      <w:r w:rsidRPr="00927767">
        <w:rPr>
          <w:rFonts w:ascii="Times New Roman" w:eastAsia="標楷體" w:hAnsi="Times New Roman" w:hint="eastAsia"/>
          <w:b/>
          <w:sz w:val="32"/>
        </w:rPr>
        <w:t>「哲學對教育實踐活動的瞭解與批判」研討會</w:t>
      </w:r>
    </w:p>
    <w:p w14:paraId="34A07D62" w14:textId="77777777" w:rsidR="007E0F70" w:rsidRPr="00927767" w:rsidRDefault="00724A6A" w:rsidP="007E0F70">
      <w:pPr>
        <w:jc w:val="center"/>
        <w:rPr>
          <w:rFonts w:ascii="Times New Roman" w:eastAsia="標楷體" w:hAnsi="Times New Roman"/>
          <w:b/>
          <w:sz w:val="32"/>
        </w:rPr>
      </w:pPr>
      <w:r w:rsidRPr="00927767">
        <w:rPr>
          <w:rFonts w:ascii="Times New Roman" w:eastAsia="標楷體" w:hAnsi="Times New Roman" w:hint="eastAsia"/>
          <w:b/>
          <w:sz w:val="32"/>
        </w:rPr>
        <w:t>暨</w:t>
      </w:r>
      <w:r w:rsidR="00886C48" w:rsidRPr="00927767">
        <w:rPr>
          <w:rFonts w:ascii="Times New Roman" w:eastAsia="標楷體" w:hAnsi="Times New Roman" w:hint="eastAsia"/>
          <w:b/>
          <w:sz w:val="32"/>
        </w:rPr>
        <w:t>第二屆</w:t>
      </w:r>
      <w:r w:rsidR="002D5FDF" w:rsidRPr="00927767">
        <w:rPr>
          <w:rFonts w:ascii="Times New Roman" w:eastAsia="標楷體" w:hAnsi="Times New Roman" w:hint="eastAsia"/>
          <w:b/>
          <w:sz w:val="32"/>
        </w:rPr>
        <w:t>臺</w:t>
      </w:r>
      <w:r w:rsidR="00886C48" w:rsidRPr="00927767">
        <w:rPr>
          <w:rFonts w:ascii="Times New Roman" w:eastAsia="標楷體" w:hAnsi="Times New Roman" w:hint="eastAsia"/>
          <w:b/>
          <w:sz w:val="32"/>
        </w:rPr>
        <w:t>灣教育哲學學會年會</w:t>
      </w:r>
    </w:p>
    <w:p w14:paraId="157B75FE" w14:textId="77777777" w:rsidR="00B86F42" w:rsidRPr="00927767" w:rsidRDefault="00B86F42" w:rsidP="00660959">
      <w:pPr>
        <w:spacing w:beforeLines="50" w:before="200"/>
        <w:ind w:left="560" w:hangingChars="200" w:hanging="560"/>
        <w:rPr>
          <w:rFonts w:ascii="Times New Roman" w:eastAsia="標楷體" w:hAnsi="Times New Roman"/>
          <w:sz w:val="28"/>
        </w:rPr>
      </w:pPr>
      <w:r w:rsidRPr="00927767">
        <w:rPr>
          <w:rFonts w:ascii="Times New Roman" w:eastAsia="標楷體" w:hAnsi="Times New Roman" w:hint="eastAsia"/>
          <w:sz w:val="28"/>
        </w:rPr>
        <w:t>一、研討會主題：從哲學觀點看教育制度、政策、行政及各類教育實踐活動。</w:t>
      </w:r>
    </w:p>
    <w:p w14:paraId="3C6A48CC" w14:textId="77777777" w:rsidR="00B86F42" w:rsidRPr="00927767" w:rsidRDefault="00B86F42" w:rsidP="00660959">
      <w:pPr>
        <w:spacing w:beforeLines="50" w:before="200"/>
        <w:ind w:left="560" w:hangingChars="200" w:hanging="560"/>
        <w:rPr>
          <w:rFonts w:ascii="Times New Roman" w:eastAsia="標楷體" w:hAnsi="Times New Roman"/>
          <w:sz w:val="28"/>
        </w:rPr>
      </w:pPr>
      <w:r w:rsidRPr="00927767">
        <w:rPr>
          <w:rFonts w:ascii="Times New Roman" w:eastAsia="標楷體" w:hAnsi="Times New Roman" w:hint="eastAsia"/>
          <w:sz w:val="28"/>
        </w:rPr>
        <w:t>二、主題緣由：一般從事哲學工作的</w:t>
      </w:r>
      <w:bookmarkStart w:id="0" w:name="_GoBack"/>
      <w:bookmarkEnd w:id="0"/>
      <w:r w:rsidRPr="00927767">
        <w:rPr>
          <w:rFonts w:ascii="Times New Roman" w:eastAsia="標楷體" w:hAnsi="Times New Roman" w:hint="eastAsia"/>
          <w:sz w:val="28"/>
        </w:rPr>
        <w:t>人通常會埋首於學說的理解與闡述，較少針對當下的教育制度及各類教育作為進行分析與批判，也因此對當下教育的發展及進行方向沒有太大的影響力。為了一掃哲學和教育哲學沒有用的刻板印象，臺灣教育哲學學會特以「哲學對教育實踐活動的了解與批判」做為此次研討會主題。這主題的範圍廣泛，凡從哲學觀點檢視教育實務之論文均可收納。</w:t>
      </w:r>
    </w:p>
    <w:p w14:paraId="54778470" w14:textId="77777777" w:rsidR="00B86F42" w:rsidRPr="00927767" w:rsidRDefault="00B86F42" w:rsidP="00660959">
      <w:pPr>
        <w:spacing w:beforeLines="50" w:before="200"/>
        <w:ind w:left="560" w:hangingChars="200" w:hanging="560"/>
        <w:rPr>
          <w:rFonts w:ascii="Times New Roman" w:eastAsia="標楷體" w:hAnsi="Times New Roman"/>
          <w:sz w:val="28"/>
        </w:rPr>
      </w:pPr>
      <w:r w:rsidRPr="00927767">
        <w:rPr>
          <w:rFonts w:ascii="Times New Roman" w:eastAsia="標楷體" w:hAnsi="Times New Roman" w:hint="eastAsia"/>
          <w:sz w:val="28"/>
        </w:rPr>
        <w:t>三、舉辦方式：主辦單位將視稿件之主題與數量，以各種不同方式進行研討，務期做到與會者有充份機會與時間來闡述一己之見解、並與同道進行溝通。</w:t>
      </w:r>
    </w:p>
    <w:p w14:paraId="164CB7B5" w14:textId="71CEFC8F" w:rsidR="00B86F42" w:rsidRPr="00927767" w:rsidRDefault="00F22C49" w:rsidP="00660959">
      <w:pPr>
        <w:spacing w:beforeLines="50" w:before="200"/>
        <w:ind w:left="560" w:hangingChars="200" w:hanging="560"/>
        <w:rPr>
          <w:rFonts w:ascii="Times New Roman" w:eastAsia="標楷體" w:hAnsi="Times New Roman"/>
          <w:sz w:val="28"/>
        </w:rPr>
      </w:pPr>
      <w:r w:rsidRPr="00927767">
        <w:rPr>
          <w:rFonts w:ascii="Times New Roman" w:eastAsia="標楷體" w:hAnsi="Times New Roman" w:hint="eastAsia"/>
          <w:sz w:val="28"/>
        </w:rPr>
        <w:t>四、</w:t>
      </w:r>
      <w:r w:rsidR="00B86F42" w:rsidRPr="00927767">
        <w:rPr>
          <w:rFonts w:ascii="Times New Roman" w:eastAsia="標楷體" w:hAnsi="Times New Roman" w:hint="eastAsia"/>
          <w:sz w:val="28"/>
        </w:rPr>
        <w:t>舉辦時間：</w:t>
      </w:r>
      <w:r w:rsidR="00B86F42" w:rsidRPr="00927767">
        <w:rPr>
          <w:rFonts w:ascii="Times New Roman" w:eastAsia="標楷體" w:hAnsi="Times New Roman" w:hint="eastAsia"/>
          <w:sz w:val="28"/>
        </w:rPr>
        <w:t>2018</w:t>
      </w:r>
      <w:r w:rsidR="00B86F42" w:rsidRPr="00927767">
        <w:rPr>
          <w:rFonts w:ascii="Times New Roman" w:eastAsia="標楷體" w:hAnsi="Times New Roman" w:hint="eastAsia"/>
          <w:sz w:val="28"/>
        </w:rPr>
        <w:t>年</w:t>
      </w:r>
      <w:r w:rsidR="00B86F42" w:rsidRPr="00927767">
        <w:rPr>
          <w:rFonts w:ascii="Times New Roman" w:eastAsia="標楷體" w:hAnsi="Times New Roman" w:hint="eastAsia"/>
          <w:sz w:val="28"/>
        </w:rPr>
        <w:t>3</w:t>
      </w:r>
      <w:r w:rsidR="00B86F42" w:rsidRPr="00927767">
        <w:rPr>
          <w:rFonts w:ascii="Times New Roman" w:eastAsia="標楷體" w:hAnsi="Times New Roman" w:hint="eastAsia"/>
          <w:sz w:val="28"/>
        </w:rPr>
        <w:t>月</w:t>
      </w:r>
      <w:r w:rsidR="00B86F42" w:rsidRPr="00927767">
        <w:rPr>
          <w:rFonts w:ascii="Times New Roman" w:eastAsia="標楷體" w:hAnsi="Times New Roman" w:hint="eastAsia"/>
          <w:sz w:val="28"/>
        </w:rPr>
        <w:t>9</w:t>
      </w:r>
      <w:r w:rsidR="00B86F42" w:rsidRPr="00927767">
        <w:rPr>
          <w:rFonts w:ascii="Times New Roman" w:eastAsia="標楷體" w:hAnsi="Times New Roman" w:hint="eastAsia"/>
          <w:sz w:val="28"/>
        </w:rPr>
        <w:t>日、</w:t>
      </w:r>
      <w:r w:rsidR="00B86F42" w:rsidRPr="00927767">
        <w:rPr>
          <w:rFonts w:ascii="Times New Roman" w:eastAsia="標楷體" w:hAnsi="Times New Roman" w:hint="eastAsia"/>
          <w:sz w:val="28"/>
        </w:rPr>
        <w:t>10</w:t>
      </w:r>
      <w:r w:rsidR="00B86F42" w:rsidRPr="00927767">
        <w:rPr>
          <w:rFonts w:ascii="Times New Roman" w:eastAsia="標楷體" w:hAnsi="Times New Roman" w:hint="eastAsia"/>
          <w:sz w:val="28"/>
        </w:rPr>
        <w:t>日</w:t>
      </w:r>
      <w:r w:rsidR="00B86F42" w:rsidRPr="00927767">
        <w:rPr>
          <w:rFonts w:ascii="Times New Roman" w:eastAsia="標楷體" w:hAnsi="Times New Roman" w:hint="eastAsia"/>
          <w:sz w:val="28"/>
        </w:rPr>
        <w:t>(</w:t>
      </w:r>
      <w:r w:rsidR="00B86F42" w:rsidRPr="00927767">
        <w:rPr>
          <w:rFonts w:ascii="Times New Roman" w:eastAsia="標楷體" w:hAnsi="Times New Roman" w:hint="eastAsia"/>
          <w:sz w:val="28"/>
        </w:rPr>
        <w:t>星期五、六</w:t>
      </w:r>
      <w:r w:rsidR="00B86F42" w:rsidRPr="00927767">
        <w:rPr>
          <w:rFonts w:ascii="Times New Roman" w:eastAsia="標楷體" w:hAnsi="Times New Roman" w:hint="eastAsia"/>
          <w:sz w:val="28"/>
        </w:rPr>
        <w:t>)</w:t>
      </w:r>
    </w:p>
    <w:p w14:paraId="18304757" w14:textId="3DEF302A" w:rsidR="00B86F42" w:rsidRPr="00927767" w:rsidRDefault="00F22C49" w:rsidP="00660959">
      <w:pPr>
        <w:spacing w:beforeLines="50" w:before="200"/>
        <w:ind w:left="560" w:hangingChars="200" w:hanging="560"/>
        <w:rPr>
          <w:rFonts w:ascii="Times New Roman" w:eastAsia="標楷體" w:hAnsi="Times New Roman"/>
          <w:sz w:val="28"/>
        </w:rPr>
      </w:pPr>
      <w:r w:rsidRPr="00927767">
        <w:rPr>
          <w:rFonts w:ascii="Times New Roman" w:eastAsia="標楷體" w:hAnsi="Times New Roman" w:hint="eastAsia"/>
          <w:sz w:val="28"/>
        </w:rPr>
        <w:t>五</w:t>
      </w:r>
      <w:r w:rsidR="00B86F42" w:rsidRPr="00927767">
        <w:rPr>
          <w:rFonts w:ascii="Times New Roman" w:eastAsia="標楷體" w:hAnsi="Times New Roman" w:hint="eastAsia"/>
          <w:sz w:val="28"/>
        </w:rPr>
        <w:t>、舉辦地點：臺北市立大學博愛校區公誠樓</w:t>
      </w:r>
      <w:r w:rsidR="00B86F42" w:rsidRPr="00927767">
        <w:rPr>
          <w:rFonts w:ascii="Times New Roman" w:eastAsia="標楷體" w:hAnsi="Times New Roman" w:hint="eastAsia"/>
          <w:sz w:val="28"/>
        </w:rPr>
        <w:t xml:space="preserve">(10048 </w:t>
      </w:r>
      <w:r w:rsidR="00B86F42" w:rsidRPr="00927767">
        <w:rPr>
          <w:rFonts w:ascii="Times New Roman" w:eastAsia="標楷體" w:hAnsi="Times New Roman" w:hint="eastAsia"/>
          <w:sz w:val="28"/>
        </w:rPr>
        <w:t>臺北市中正區愛國西路一號</w:t>
      </w:r>
      <w:r w:rsidR="00B86F42" w:rsidRPr="00927767">
        <w:rPr>
          <w:rFonts w:ascii="Times New Roman" w:eastAsia="標楷體" w:hAnsi="Times New Roman" w:hint="eastAsia"/>
          <w:sz w:val="28"/>
        </w:rPr>
        <w:t>)</w:t>
      </w:r>
    </w:p>
    <w:p w14:paraId="75F1BAB3" w14:textId="3DD7B5DF" w:rsidR="00724A6A" w:rsidRPr="00927767" w:rsidRDefault="00724A6A" w:rsidP="00660959">
      <w:pPr>
        <w:spacing w:beforeLines="50" w:before="200"/>
        <w:ind w:left="560" w:hangingChars="200" w:hanging="560"/>
        <w:rPr>
          <w:rFonts w:ascii="Times New Roman" w:eastAsia="標楷體" w:hAnsi="Times New Roman"/>
          <w:sz w:val="28"/>
        </w:rPr>
      </w:pPr>
      <w:r w:rsidRPr="00927767">
        <w:rPr>
          <w:rFonts w:ascii="Times New Roman" w:eastAsia="標楷體" w:hAnsi="Times New Roman" w:hint="eastAsia"/>
          <w:sz w:val="28"/>
        </w:rPr>
        <w:t>六、主辦單位：臺北市立大學教育學系</w:t>
      </w:r>
      <w:r w:rsidRPr="00927767">
        <w:rPr>
          <w:rFonts w:ascii="Times New Roman" w:eastAsia="標楷體" w:hAnsi="Times New Roman" w:hint="eastAsia"/>
          <w:sz w:val="28"/>
        </w:rPr>
        <w:t>/</w:t>
      </w:r>
      <w:r w:rsidRPr="00927767">
        <w:rPr>
          <w:rFonts w:ascii="Times New Roman" w:eastAsia="標楷體" w:hAnsi="Times New Roman" w:hint="eastAsia"/>
          <w:sz w:val="28"/>
        </w:rPr>
        <w:t>臺灣教育哲學學會</w:t>
      </w:r>
    </w:p>
    <w:p w14:paraId="3DAA2F21" w14:textId="26158708" w:rsidR="00724A6A" w:rsidRPr="00927767" w:rsidRDefault="00724A6A" w:rsidP="00660959">
      <w:pPr>
        <w:spacing w:beforeLines="50" w:before="200"/>
        <w:ind w:left="560" w:hangingChars="200" w:hanging="560"/>
        <w:rPr>
          <w:rFonts w:ascii="Times New Roman" w:eastAsia="標楷體" w:hAnsi="Times New Roman"/>
          <w:sz w:val="28"/>
        </w:rPr>
      </w:pPr>
      <w:r w:rsidRPr="00927767">
        <w:rPr>
          <w:rFonts w:ascii="Times New Roman" w:eastAsia="標楷體" w:hAnsi="Times New Roman" w:hint="eastAsia"/>
          <w:sz w:val="28"/>
        </w:rPr>
        <w:t xml:space="preserve">    </w:t>
      </w:r>
      <w:r w:rsidRPr="00927767">
        <w:rPr>
          <w:rFonts w:ascii="Times New Roman" w:eastAsia="標楷體" w:hAnsi="Times New Roman" w:hint="eastAsia"/>
          <w:sz w:val="28"/>
        </w:rPr>
        <w:t>合辦單位：財團法人黃昆輝教授教育基金會</w:t>
      </w:r>
      <w:r w:rsidR="00A30760" w:rsidRPr="00927767">
        <w:rPr>
          <w:rFonts w:ascii="Times New Roman" w:eastAsia="標楷體" w:hAnsi="Times New Roman" w:hint="eastAsia"/>
          <w:sz w:val="28"/>
        </w:rPr>
        <w:t>/</w:t>
      </w:r>
      <w:r w:rsidR="00A30760" w:rsidRPr="00927767">
        <w:rPr>
          <w:rFonts w:ascii="Times New Roman" w:eastAsia="標楷體" w:hAnsi="Times New Roman" w:hint="eastAsia"/>
          <w:sz w:val="28"/>
        </w:rPr>
        <w:t>臺北市立大學教育學院</w:t>
      </w:r>
    </w:p>
    <w:p w14:paraId="1170625A" w14:textId="579F8583" w:rsidR="00886C48" w:rsidRPr="00927767" w:rsidRDefault="00724A6A" w:rsidP="00F22C49">
      <w:pPr>
        <w:ind w:left="560" w:hangingChars="200" w:hanging="560"/>
        <w:rPr>
          <w:rFonts w:ascii="Times New Roman" w:eastAsia="標楷體" w:hAnsi="Times New Roman"/>
          <w:sz w:val="28"/>
        </w:rPr>
      </w:pPr>
      <w:r w:rsidRPr="00927767">
        <w:rPr>
          <w:rFonts w:ascii="Times New Roman" w:eastAsia="標楷體" w:hAnsi="Times New Roman" w:hint="eastAsia"/>
          <w:sz w:val="28"/>
        </w:rPr>
        <w:t>七</w:t>
      </w:r>
      <w:r w:rsidR="00F22C49" w:rsidRPr="00927767">
        <w:rPr>
          <w:rFonts w:ascii="Times New Roman" w:eastAsia="標楷體" w:hAnsi="Times New Roman" w:hint="eastAsia"/>
          <w:sz w:val="28"/>
        </w:rPr>
        <w:t>、</w:t>
      </w:r>
      <w:r w:rsidR="00886C48" w:rsidRPr="00927767">
        <w:rPr>
          <w:rFonts w:ascii="Times New Roman" w:eastAsia="標楷體" w:hAnsi="Times New Roman" w:hint="eastAsia"/>
          <w:sz w:val="28"/>
        </w:rPr>
        <w:t>議程</w:t>
      </w:r>
      <w:r w:rsidR="00927767" w:rsidRPr="00927767">
        <w:rPr>
          <w:rFonts w:ascii="Times New Roman" w:eastAsia="標楷體" w:hAnsi="Times New Roman" w:hint="eastAsia"/>
          <w:sz w:val="28"/>
        </w:rPr>
        <w:t>表</w:t>
      </w:r>
      <w:r w:rsidR="00A30760" w:rsidRPr="00927767">
        <w:rPr>
          <w:rFonts w:ascii="Times New Roman" w:eastAsia="標楷體" w:hAnsi="Times New Roman" w:hint="eastAsia"/>
          <w:sz w:val="28"/>
        </w:rPr>
        <w:t>(</w:t>
      </w:r>
      <w:r w:rsidR="00A30760" w:rsidRPr="00927767">
        <w:rPr>
          <w:rFonts w:ascii="Times New Roman" w:eastAsia="標楷體" w:hAnsi="Times New Roman" w:hint="eastAsia"/>
          <w:sz w:val="28"/>
        </w:rPr>
        <w:t>暫訂</w:t>
      </w:r>
      <w:r w:rsidR="00A30760" w:rsidRPr="00927767">
        <w:rPr>
          <w:rFonts w:ascii="Times New Roman" w:eastAsia="標楷體" w:hAnsi="Times New Roman" w:hint="eastAsia"/>
          <w:sz w:val="28"/>
        </w:rPr>
        <w:t>)</w:t>
      </w:r>
      <w:r w:rsidR="00886C48" w:rsidRPr="00927767">
        <w:rPr>
          <w:rFonts w:ascii="Times New Roman" w:eastAsia="標楷體" w:hAnsi="Times New Roman" w:hint="eastAsia"/>
          <w:sz w:val="28"/>
        </w:rPr>
        <w:t>：</w:t>
      </w:r>
    </w:p>
    <w:p w14:paraId="4558B090" w14:textId="0518A71D" w:rsidR="0044156A" w:rsidRPr="00927767" w:rsidRDefault="0044156A" w:rsidP="0044156A">
      <w:pPr>
        <w:jc w:val="center"/>
        <w:rPr>
          <w:rFonts w:ascii="Times New Roman" w:eastAsia="標楷體" w:hAnsi="Times New Roman"/>
        </w:rPr>
      </w:pPr>
    </w:p>
    <w:tbl>
      <w:tblPr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2948"/>
        <w:gridCol w:w="209"/>
        <w:gridCol w:w="3221"/>
        <w:gridCol w:w="3119"/>
      </w:tblGrid>
      <w:tr w:rsidR="0044156A" w:rsidRPr="00927767" w14:paraId="0AC888B5" w14:textId="77777777" w:rsidTr="00927767">
        <w:trPr>
          <w:trHeight w:val="5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51B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bookmarkStart w:id="1" w:name="_Toc308596067"/>
            <w:r w:rsidRPr="00927767">
              <w:rPr>
                <w:rFonts w:ascii="Times New Roman" w:eastAsia="標楷體" w:hAnsi="Times New Roman" w:cs="Times New Roman"/>
                <w:sz w:val="22"/>
              </w:rPr>
              <w:t>時間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A54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議程／主持人／發表人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9AA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地點</w:t>
            </w:r>
          </w:p>
        </w:tc>
      </w:tr>
      <w:tr w:rsidR="0044156A" w:rsidRPr="00927767" w14:paraId="5CFC60A4" w14:textId="77777777" w:rsidTr="00927767">
        <w:trPr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364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03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09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44156A" w:rsidRPr="00927767" w14:paraId="18D6DE27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506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  <w:p w14:paraId="7B5DCE5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|</w:t>
            </w:r>
          </w:p>
          <w:p w14:paraId="58C2E08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DEE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</w:rPr>
              <w:t>Reading group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16AE" w14:textId="77777777" w:rsidR="0044156A" w:rsidRPr="00927767" w:rsidRDefault="0044156A" w:rsidP="00F668A6">
            <w:pPr>
              <w:adjustRightInd w:val="0"/>
              <w:snapToGrid w:val="0"/>
              <w:spacing w:before="12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臺北市立大學</w:t>
            </w:r>
          </w:p>
          <w:p w14:paraId="45FD1336" w14:textId="77777777" w:rsidR="0044156A" w:rsidRPr="00927767" w:rsidRDefault="0044156A" w:rsidP="00F668A6">
            <w:pPr>
              <w:adjustRightInd w:val="0"/>
              <w:snapToGrid w:val="0"/>
              <w:spacing w:before="12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公誠樓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G401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研討室</w:t>
            </w:r>
          </w:p>
        </w:tc>
      </w:tr>
      <w:tr w:rsidR="0044156A" w:rsidRPr="00927767" w14:paraId="7083603B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485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</w:rPr>
              <w:t>15:30</w:t>
            </w:r>
          </w:p>
          <w:p w14:paraId="7985516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|</w:t>
            </w:r>
          </w:p>
          <w:p w14:paraId="0A91AD4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</w:rPr>
              <w:t>15:50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094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</w:rPr>
              <w:t>Tea time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2235" w14:textId="77777777" w:rsidR="0044156A" w:rsidRPr="00927767" w:rsidRDefault="0044156A" w:rsidP="00F668A6">
            <w:pPr>
              <w:adjustRightInd w:val="0"/>
              <w:snapToGrid w:val="0"/>
              <w:spacing w:before="120"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臺北市立大學</w:t>
            </w:r>
          </w:p>
          <w:p w14:paraId="639F4769" w14:textId="77777777" w:rsidR="0044156A" w:rsidRPr="00927767" w:rsidRDefault="0044156A" w:rsidP="00F668A6">
            <w:pPr>
              <w:adjustRightInd w:val="0"/>
              <w:snapToGrid w:val="0"/>
              <w:spacing w:before="120"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公誠樓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G401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研討室</w:t>
            </w:r>
          </w:p>
        </w:tc>
      </w:tr>
      <w:tr w:rsidR="0044156A" w:rsidRPr="00927767" w14:paraId="1AE0ABD7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B68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</w:rPr>
              <w:t>15:50</w:t>
            </w:r>
          </w:p>
          <w:p w14:paraId="24D99BD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lastRenderedPageBreak/>
              <w:t>|</w:t>
            </w:r>
          </w:p>
          <w:p w14:paraId="4B3BDE9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</w:rPr>
              <w:t>17:50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569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</w:rPr>
              <w:lastRenderedPageBreak/>
              <w:t>Public panel discussion</w:t>
            </w:r>
            <w:r w:rsidRPr="00927767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03C59B2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lastRenderedPageBreak/>
              <w:t>各國際教育哲學的發展趨勢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0F83" w14:textId="77777777" w:rsidR="0044156A" w:rsidRPr="00927767" w:rsidRDefault="0044156A" w:rsidP="00F668A6">
            <w:pPr>
              <w:adjustRightInd w:val="0"/>
              <w:snapToGrid w:val="0"/>
              <w:spacing w:before="120"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臺北市立大學</w:t>
            </w:r>
          </w:p>
          <w:p w14:paraId="11A8FC38" w14:textId="77777777" w:rsidR="0044156A" w:rsidRPr="00927767" w:rsidRDefault="0044156A" w:rsidP="00F668A6">
            <w:pPr>
              <w:adjustRightInd w:val="0"/>
              <w:snapToGrid w:val="0"/>
              <w:spacing w:before="120"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公誠樓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G402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研討室</w:t>
            </w:r>
          </w:p>
        </w:tc>
      </w:tr>
      <w:tr w:rsidR="0044156A" w:rsidRPr="00927767" w14:paraId="36A3F848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132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</w:rPr>
              <w:lastRenderedPageBreak/>
              <w:t>17:50</w:t>
            </w:r>
          </w:p>
          <w:p w14:paraId="3443790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</w:rPr>
              <w:t>|</w:t>
            </w:r>
          </w:p>
          <w:p w14:paraId="1B88046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</w:rPr>
              <w:t>18:00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8FA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活動結束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CD69" w14:textId="77777777" w:rsidR="0044156A" w:rsidRPr="00927767" w:rsidRDefault="0044156A" w:rsidP="00F668A6">
            <w:pPr>
              <w:adjustRightInd w:val="0"/>
              <w:snapToGrid w:val="0"/>
              <w:spacing w:before="240" w:line="26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4156A" w:rsidRPr="00927767" w14:paraId="706107DC" w14:textId="77777777" w:rsidTr="00927767">
        <w:trPr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B26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03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日（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六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44156A" w:rsidRPr="00927767" w14:paraId="50508999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91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08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40</w:t>
            </w:r>
          </w:p>
          <w:p w14:paraId="636D05B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|</w:t>
            </w:r>
          </w:p>
          <w:p w14:paraId="6880938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09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00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39F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報到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D09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2225AB8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臺北市立大學</w:t>
            </w:r>
          </w:p>
          <w:p w14:paraId="1A3284A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公誠樓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樓</w:t>
            </w:r>
          </w:p>
          <w:p w14:paraId="1F17EB5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第二會議室</w:t>
            </w:r>
          </w:p>
          <w:p w14:paraId="73AD097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4156A" w:rsidRPr="00927767" w14:paraId="3868D988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7FF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09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00</w:t>
            </w:r>
          </w:p>
          <w:p w14:paraId="0029B26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|</w:t>
            </w:r>
          </w:p>
          <w:p w14:paraId="5AACDFD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580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開幕式</w:t>
            </w:r>
          </w:p>
          <w:p w14:paraId="4225CE0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pacing w:val="7"/>
                <w:sz w:val="22"/>
              </w:rPr>
              <w:t>貴賓致詞：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黃昆輝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董事長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黃昆輝教授基金會</w:t>
            </w:r>
          </w:p>
          <w:p w14:paraId="3F5CC9B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主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持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人：</w:t>
            </w:r>
            <w:r w:rsidRPr="0092776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楊深坑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教授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國立臺灣師大教育學系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502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04BA0BF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臺北市立大學</w:t>
            </w:r>
          </w:p>
          <w:p w14:paraId="7069B8C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公誠樓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樓</w:t>
            </w:r>
          </w:p>
          <w:p w14:paraId="22E19C8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第二會議室</w:t>
            </w:r>
          </w:p>
          <w:p w14:paraId="443ECDC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4156A" w:rsidRPr="00927767" w14:paraId="17A7FBF6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D8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09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</w:p>
          <w:p w14:paraId="7BA372E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|</w:t>
            </w:r>
          </w:p>
          <w:p w14:paraId="487B68A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723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專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題講演</w:t>
            </w:r>
          </w:p>
          <w:p w14:paraId="520978C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主持人：楊深坑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教授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國立臺灣師大教育學系</w:t>
            </w:r>
          </w:p>
          <w:p w14:paraId="506A569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主講人：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洪仁進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教授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國立臺灣師大教育學系</w:t>
            </w:r>
          </w:p>
          <w:p w14:paraId="1A8977F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講題：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從教育哲學的研習到一校之長</w:t>
            </w:r>
          </w:p>
          <w:p w14:paraId="26CCEC2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FD7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臺北市立大學</w:t>
            </w:r>
          </w:p>
          <w:p w14:paraId="21E5BCB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公誠樓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樓</w:t>
            </w:r>
          </w:p>
          <w:p w14:paraId="0586831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第二會議室</w:t>
            </w:r>
          </w:p>
          <w:p w14:paraId="145EE5F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4156A" w:rsidRPr="00927767" w14:paraId="02AA5D51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C2B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10:20-10:40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CE3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茶敘</w:t>
            </w:r>
            <w:r w:rsidRPr="00927767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/</w:t>
            </w:r>
            <w:r w:rsidRPr="00927767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公誠樓</w:t>
            </w:r>
            <w:r w:rsidRPr="00927767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4</w:t>
            </w:r>
            <w:r w:rsidRPr="00927767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樓</w:t>
            </w:r>
          </w:p>
        </w:tc>
      </w:tr>
      <w:tr w:rsidR="0044156A" w:rsidRPr="00927767" w14:paraId="3F49170B" w14:textId="77777777" w:rsidTr="00927767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A28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  <w:p w14:paraId="64C9CE1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|</w:t>
            </w:r>
          </w:p>
          <w:p w14:paraId="2CF3356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00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論文</w:t>
            </w:r>
          </w:p>
          <w:p w14:paraId="0955428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發表</w:t>
            </w:r>
          </w:p>
          <w:p w14:paraId="26E539A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F5D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G401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E17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G402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74F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G406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</w:tr>
      <w:tr w:rsidR="0044156A" w:rsidRPr="00927767" w14:paraId="55711A29" w14:textId="77777777" w:rsidTr="00927767">
        <w:trPr>
          <w:trHeight w:val="41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48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E4BB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論文發表〈一〉</w:t>
            </w:r>
          </w:p>
          <w:p w14:paraId="3422B8DE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31AFBCF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主持人：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黃藿</w:t>
            </w:r>
          </w:p>
          <w:p w14:paraId="2D3B01E7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中國文化大學</w:t>
            </w:r>
          </w:p>
          <w:p w14:paraId="4BC4BC4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5576F27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4F3F90F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54A88115" w14:textId="77777777" w:rsidR="0044156A" w:rsidRPr="00927767" w:rsidRDefault="0044156A" w:rsidP="0044156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45" w:left="735" w:hanging="627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從德性知識論到智育的哲學反思</w:t>
            </w:r>
          </w:p>
          <w:p w14:paraId="5F6CF56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發表人：林建福</w:t>
            </w:r>
          </w:p>
          <w:p w14:paraId="720FEE3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（國立台灣師範大學）</w:t>
            </w:r>
          </w:p>
          <w:p w14:paraId="6831FCA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</w:p>
          <w:p w14:paraId="60B79D77" w14:textId="77777777" w:rsidR="0044156A" w:rsidRPr="00927767" w:rsidRDefault="0044156A" w:rsidP="0044156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45" w:left="824" w:hanging="716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從德性倫理學論品德行為</w:t>
            </w:r>
          </w:p>
          <w:p w14:paraId="7F20BA8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發表人：陳伊琳</w:t>
            </w:r>
          </w:p>
          <w:p w14:paraId="25A137F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（國立台灣師範大學）</w:t>
            </w:r>
          </w:p>
          <w:p w14:paraId="34EC037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1A83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論文發表〈二〉</w:t>
            </w:r>
          </w:p>
          <w:p w14:paraId="185C0077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C8A85C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主持人：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李奉儒</w:t>
            </w:r>
          </w:p>
          <w:p w14:paraId="093B3E7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國立中正大學</w:t>
            </w:r>
          </w:p>
          <w:p w14:paraId="40D8624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483E173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110DEE1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5E733F38" w14:textId="77777777" w:rsidR="0044156A" w:rsidRPr="00927767" w:rsidRDefault="0044156A" w:rsidP="0044156A">
            <w:pPr>
              <w:numPr>
                <w:ilvl w:val="0"/>
                <w:numId w:val="7"/>
              </w:num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從《禮記‧學記》談道德教育融入課程理念</w:t>
            </w:r>
          </w:p>
          <w:p w14:paraId="064D2BE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發表人：黃柏叡</w:t>
            </w:r>
          </w:p>
          <w:p w14:paraId="5999E74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（中國文化大學）</w:t>
            </w:r>
          </w:p>
          <w:p w14:paraId="00497425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1CF96684" w14:textId="77777777" w:rsidR="0044156A" w:rsidRPr="00927767" w:rsidRDefault="0044156A" w:rsidP="0044156A">
            <w:pPr>
              <w:numPr>
                <w:ilvl w:val="0"/>
                <w:numId w:val="7"/>
              </w:num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從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P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.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R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icoeur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的隱喻觀點分析十二年國教論述之道德正當性隱喻</w:t>
            </w:r>
          </w:p>
          <w:p w14:paraId="26DE9CD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發表人：游振鵬</w:t>
            </w:r>
          </w:p>
          <w:p w14:paraId="45339F8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（中國文化大學）</w:t>
            </w:r>
          </w:p>
          <w:p w14:paraId="687BB31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6A45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論文發表〈三〉</w:t>
            </w:r>
          </w:p>
          <w:p w14:paraId="4803CF0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55292F7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主持人：邀請中</w:t>
            </w:r>
          </w:p>
          <w:p w14:paraId="280E6A0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4C06762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2EF0317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4FA6F7B3" w14:textId="77777777" w:rsidR="0044156A" w:rsidRPr="00927767" w:rsidRDefault="0044156A" w:rsidP="0044156A">
            <w:pPr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P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hilosophy for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c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hildren and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he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h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ope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f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or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m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oral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e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ducation</w:t>
            </w:r>
          </w:p>
          <w:p w14:paraId="53797AD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Chars="132" w:left="317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發表人：王清思</w:t>
            </w:r>
          </w:p>
          <w:p w14:paraId="7669C09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Chars="132" w:left="317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（國立嘉義大學）</w:t>
            </w:r>
          </w:p>
          <w:p w14:paraId="520EA68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1716F63D" w14:textId="77777777" w:rsidR="0044156A" w:rsidRPr="00927767" w:rsidRDefault="0044156A" w:rsidP="0044156A">
            <w:pPr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Language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r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ight and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he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l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earning of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n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ative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l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anguage</w:t>
            </w:r>
          </w:p>
          <w:p w14:paraId="66F1454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Chars="132" w:left="317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發表人：梁卓恆</w:t>
            </w:r>
          </w:p>
          <w:p w14:paraId="50FC44D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Chars="132" w:left="317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H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ong Kong Chinese University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14:paraId="78EA740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4156A" w:rsidRPr="00927767" w14:paraId="0BD77F9C" w14:textId="77777777" w:rsidTr="00927767">
        <w:trPr>
          <w:trHeight w:val="5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81F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00</w:t>
            </w:r>
          </w:p>
          <w:p w14:paraId="4157D03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|</w:t>
            </w:r>
          </w:p>
          <w:p w14:paraId="60DBFF5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5DE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3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0"/>
              </w:rPr>
              <w:t>午餐</w:t>
            </w:r>
            <w:r w:rsidRPr="00927767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/</w:t>
            </w:r>
            <w:r w:rsidRPr="00927767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選舉下一屆理事長、監理事</w:t>
            </w:r>
          </w:p>
          <w:p w14:paraId="7E227B0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地點：公誠樓四樓</w:t>
            </w:r>
            <w:r w:rsidRPr="00927767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G40</w:t>
            </w:r>
            <w:r w:rsidRPr="00927767">
              <w:rPr>
                <w:rFonts w:ascii="Times New Roman" w:eastAsia="標楷體" w:hAnsi="Times New Roman" w:cs="Times New Roman"/>
                <w:sz w:val="20"/>
                <w:szCs w:val="23"/>
              </w:rPr>
              <w:t>1</w:t>
            </w:r>
            <w:r w:rsidRPr="00927767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教室</w:t>
            </w:r>
          </w:p>
        </w:tc>
      </w:tr>
      <w:tr w:rsidR="0044156A" w:rsidRPr="00927767" w14:paraId="64037470" w14:textId="77777777" w:rsidTr="00927767">
        <w:trPr>
          <w:trHeight w:val="5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4E1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lastRenderedPageBreak/>
              <w:t>13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  <w:p w14:paraId="7B8B16E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|</w:t>
            </w:r>
          </w:p>
          <w:p w14:paraId="21FA7A4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14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D77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27767">
              <w:rPr>
                <w:rFonts w:ascii="Times New Roman" w:eastAsia="標楷體" w:hAnsi="Times New Roman" w:cs="Times New Roman"/>
                <w:b/>
              </w:rPr>
              <w:t>Keynote Speaker</w:t>
            </w:r>
            <w:r w:rsidRPr="00927767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927767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927767">
              <w:rPr>
                <w:rFonts w:ascii="Times New Roman" w:eastAsia="標楷體" w:hAnsi="Times New Roman" w:cs="Times New Roman"/>
                <w:b/>
              </w:rPr>
              <w:t>Judith Suissa</w:t>
            </w:r>
            <w:r w:rsidRPr="00927767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14:paraId="6AACED81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</w:rPr>
              <w:t>〈</w:t>
            </w:r>
            <w:r w:rsidRPr="00927767">
              <w:rPr>
                <w:rFonts w:ascii="Times New Roman" w:eastAsia="標楷體" w:hAnsi="Times New Roman" w:cs="Times New Roman" w:hint="eastAsia"/>
                <w:b/>
              </w:rPr>
              <w:t>UCL Institute of Education, London</w:t>
            </w:r>
            <w:r w:rsidRPr="00927767">
              <w:rPr>
                <w:rFonts w:ascii="Times New Roman" w:eastAsia="標楷體" w:hAnsi="Times New Roman" w:cs="Times New Roman" w:hint="eastAsia"/>
                <w:b/>
              </w:rPr>
              <w:t>〉</w:t>
            </w:r>
          </w:p>
          <w:p w14:paraId="07204E73" w14:textId="77777777" w:rsidR="0044156A" w:rsidRPr="00927767" w:rsidRDefault="0044156A" w:rsidP="00F668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27767">
              <w:rPr>
                <w:rFonts w:ascii="Times New Roman" w:eastAsia="標楷體" w:hAnsi="Times New Roman" w:cs="Times New Roman"/>
                <w:color w:val="000000"/>
              </w:rPr>
              <w:t>What are our concepts for? Philosophy of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</w:rPr>
              <w:t xml:space="preserve"> e</w:t>
            </w:r>
            <w:r w:rsidRPr="00927767">
              <w:rPr>
                <w:rFonts w:ascii="Times New Roman" w:eastAsia="標楷體" w:hAnsi="Times New Roman" w:cs="Times New Roman"/>
                <w:color w:val="000000"/>
              </w:rPr>
              <w:t xml:space="preserve">ducation, 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</w:rPr>
              <w:t>r</w:t>
            </w:r>
            <w:r w:rsidRPr="00927767">
              <w:rPr>
                <w:rFonts w:ascii="Times New Roman" w:eastAsia="標楷體" w:hAnsi="Times New Roman" w:cs="Times New Roman"/>
                <w:color w:val="000000"/>
              </w:rPr>
              <w:t xml:space="preserve">adical 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</w:rPr>
              <w:t>t</w:t>
            </w:r>
            <w:r w:rsidRPr="00927767">
              <w:rPr>
                <w:rFonts w:ascii="Times New Roman" w:eastAsia="標楷體" w:hAnsi="Times New Roman" w:cs="Times New Roman"/>
                <w:color w:val="000000"/>
              </w:rPr>
              <w:t xml:space="preserve">raditions and the 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</w:rPr>
              <w:t>p</w:t>
            </w:r>
            <w:r w:rsidRPr="00927767">
              <w:rPr>
                <w:rFonts w:ascii="Times New Roman" w:eastAsia="標楷體" w:hAnsi="Times New Roman" w:cs="Times New Roman"/>
                <w:color w:val="000000"/>
              </w:rPr>
              <w:t xml:space="preserve">olitical 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</w:rPr>
              <w:t>i</w:t>
            </w:r>
            <w:r w:rsidRPr="00927767">
              <w:rPr>
                <w:rFonts w:ascii="Times New Roman" w:eastAsia="標楷體" w:hAnsi="Times New Roman" w:cs="Times New Roman"/>
                <w:color w:val="000000"/>
              </w:rPr>
              <w:t>magination</w:t>
            </w:r>
          </w:p>
          <w:p w14:paraId="7D6E4A6B" w14:textId="77777777" w:rsidR="0044156A" w:rsidRPr="00927767" w:rsidRDefault="0044156A" w:rsidP="00F668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lang w:val="de-DE"/>
              </w:rPr>
            </w:pPr>
            <w:r w:rsidRPr="00927767">
              <w:rPr>
                <w:rFonts w:ascii="Times New Roman" w:eastAsia="標楷體" w:hAnsi="Times New Roman" w:cs="Times New Roman" w:hint="eastAsia"/>
                <w:color w:val="000000"/>
                <w:lang w:val="de-DE"/>
              </w:rPr>
              <w:t>（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  <w:lang w:val="de-DE"/>
              </w:rPr>
              <w:t>C</w:t>
            </w:r>
            <w:r w:rsidRPr="00927767">
              <w:rPr>
                <w:rFonts w:ascii="Times New Roman" w:eastAsia="標楷體" w:hAnsi="Times New Roman" w:cs="Times New Roman"/>
                <w:color w:val="000000"/>
                <w:lang w:val="de-DE"/>
              </w:rPr>
              <w:t>hairperson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  <w:lang w:val="de-DE"/>
              </w:rPr>
              <w:t>：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  <w:lang w:val="de-DE"/>
              </w:rPr>
              <w:t>J</w:t>
            </w:r>
            <w:r w:rsidRPr="00927767">
              <w:rPr>
                <w:rFonts w:ascii="Times New Roman" w:eastAsia="標楷體" w:hAnsi="Times New Roman" w:cs="Times New Roman"/>
                <w:color w:val="000000"/>
                <w:lang w:val="de-DE"/>
              </w:rPr>
              <w:t>au-wei Dan</w:t>
            </w:r>
            <w:r w:rsidRPr="00927767">
              <w:rPr>
                <w:rFonts w:ascii="Times New Roman" w:eastAsia="標楷體" w:hAnsi="Times New Roman" w:cs="Times New Roman" w:hint="eastAsia"/>
                <w:color w:val="000000"/>
                <w:lang w:val="de-DE"/>
              </w:rPr>
              <w:t>）</w:t>
            </w:r>
          </w:p>
          <w:p w14:paraId="0B29F75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lang w:val="de-DE"/>
              </w:rPr>
            </w:pPr>
          </w:p>
        </w:tc>
      </w:tr>
      <w:tr w:rsidR="0044156A" w:rsidRPr="00927767" w14:paraId="677B932C" w14:textId="77777777" w:rsidTr="00927767">
        <w:trPr>
          <w:trHeight w:val="26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6DBB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14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  <w:p w14:paraId="7D78761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|</w:t>
            </w:r>
          </w:p>
          <w:p w14:paraId="1158270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論文</w:t>
            </w:r>
          </w:p>
          <w:p w14:paraId="7DDD1D9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發表</w:t>
            </w:r>
          </w:p>
          <w:p w14:paraId="26C4131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949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G401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AEB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G402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62F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G406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</w:tr>
      <w:tr w:rsidR="0044156A" w:rsidRPr="00927767" w14:paraId="362B2A57" w14:textId="77777777" w:rsidTr="00927767">
        <w:trPr>
          <w:trHeight w:val="39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E43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4D4AA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論文發表〈四〉</w:t>
            </w:r>
          </w:p>
          <w:p w14:paraId="319F70E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4CBBEE9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主持人：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周愚文</w:t>
            </w:r>
          </w:p>
          <w:p w14:paraId="60BDF7E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國立臺灣師範大學</w:t>
            </w:r>
          </w:p>
          <w:p w14:paraId="72DCC80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1AF20C8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52D7976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33D7DD4D" w14:textId="77777777" w:rsidR="0044156A" w:rsidRPr="00927767" w:rsidRDefault="0044156A" w:rsidP="0044156A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國家在教育中的角色</w:t>
            </w:r>
          </w:p>
          <w:p w14:paraId="7B51A41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發表人：顧曉雲</w:t>
            </w:r>
          </w:p>
          <w:p w14:paraId="0612083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〈國立中正大學〉</w:t>
            </w:r>
          </w:p>
          <w:p w14:paraId="7CD2D0DE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3EA3C424" w14:textId="77777777" w:rsidR="0044156A" w:rsidRPr="00927767" w:rsidRDefault="0044156A" w:rsidP="00F668A6">
            <w:pPr>
              <w:ind w:leftChars="45" w:left="108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</w:rPr>
              <w:t xml:space="preserve">2.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效率控制或公義解放？—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R. Bates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的批判理論對教育行政領導之啟示</w:t>
            </w:r>
          </w:p>
          <w:p w14:paraId="2BA87DB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發表人：蘇鈺楠</w:t>
            </w:r>
          </w:p>
          <w:p w14:paraId="79EB606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〈國立東華大學〉</w:t>
            </w:r>
          </w:p>
          <w:p w14:paraId="55DED6A4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0DD2F76" w14:textId="77777777" w:rsidR="0044156A" w:rsidRPr="00927767" w:rsidRDefault="0044156A" w:rsidP="0044156A">
            <w:pPr>
              <w:numPr>
                <w:ilvl w:val="0"/>
                <w:numId w:val="8"/>
              </w:num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J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. Dewey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教育科學理念之評析</w:t>
            </w:r>
          </w:p>
          <w:p w14:paraId="2072B29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發表人：黎瑋</w:t>
            </w:r>
          </w:p>
          <w:p w14:paraId="6B38F8F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Chars="-25" w:left="-1" w:hangingChars="27" w:hanging="59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〈國立臺灣師範大學博士生〉</w:t>
            </w:r>
          </w:p>
          <w:p w14:paraId="03B497A5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422A3BFB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</w:rPr>
              <w:t xml:space="preserve">4.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homas Tate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《教育哲學》之理念評析</w:t>
            </w:r>
          </w:p>
          <w:p w14:paraId="694BD80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發表人：尹瑞晗</w:t>
            </w:r>
          </w:p>
          <w:p w14:paraId="1DAABE0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Chars="-25" w:left="-1" w:hangingChars="27" w:hanging="59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〈國立臺灣師範大學博士生〉</w:t>
            </w:r>
          </w:p>
          <w:p w14:paraId="3A493C0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D3CD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論文發表〈五〉</w:t>
            </w:r>
          </w:p>
          <w:p w14:paraId="1D1A319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10ED710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主持人：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方永泉</w:t>
            </w:r>
          </w:p>
          <w:p w14:paraId="001701F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國立臺灣師範大學</w:t>
            </w:r>
          </w:p>
          <w:p w14:paraId="0DB2954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715A20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14:paraId="33F4E65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55363194" w14:textId="77777777" w:rsidR="0044156A" w:rsidRPr="00927767" w:rsidRDefault="0044156A" w:rsidP="0044156A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12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年國教缺「德」嗎？—杜威觀點</w:t>
            </w:r>
          </w:p>
          <w:p w14:paraId="1B18E07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發表人：單文經</w:t>
            </w:r>
          </w:p>
          <w:p w14:paraId="2468AB8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〈中國文化大學〉</w:t>
            </w:r>
          </w:p>
          <w:p w14:paraId="5E88E92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456657B6" w14:textId="77777777" w:rsidR="0044156A" w:rsidRPr="00927767" w:rsidRDefault="0044156A" w:rsidP="0044156A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十二年國教的道德素養評析與傳統道德教育之角色</w:t>
            </w:r>
          </w:p>
          <w:p w14:paraId="023FBE5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發表人：王嘉陵</w:t>
            </w:r>
          </w:p>
          <w:p w14:paraId="627574D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〈國立海洋大學〉</w:t>
            </w:r>
          </w:p>
          <w:p w14:paraId="4F10D55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53D47A83" w14:textId="77777777" w:rsidR="0044156A" w:rsidRPr="00927767" w:rsidRDefault="0044156A" w:rsidP="0044156A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十二年國民基本教育與師資生品德教育的需求：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J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.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 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Dewey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民主教育觀點的應用</w:t>
            </w:r>
          </w:p>
          <w:p w14:paraId="196CD79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發表人：葉彥宏</w:t>
            </w:r>
          </w:p>
          <w:p w14:paraId="7F98B50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〈銘傳大學〉</w:t>
            </w:r>
          </w:p>
          <w:p w14:paraId="20664F6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FCA67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論文發表〈六〉</w:t>
            </w:r>
          </w:p>
          <w:p w14:paraId="6304918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4150E10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主持人：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邀請中</w:t>
            </w:r>
          </w:p>
          <w:p w14:paraId="56D4DD32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3F36AE5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2FCB1E0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1E4B5433" w14:textId="77777777" w:rsidR="0044156A" w:rsidRPr="00927767" w:rsidRDefault="0044156A" w:rsidP="0044156A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Creating the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l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ocal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hrough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h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istory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e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ducation: Performing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i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dentity in Hong Kong</w:t>
            </w:r>
          </w:p>
          <w:p w14:paraId="4AE9ECB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Liz Jackson</w:t>
            </w:r>
          </w:p>
          <w:p w14:paraId="0B2AE73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(Hong Kong University)</w:t>
            </w:r>
          </w:p>
          <w:p w14:paraId="07F4444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</w:p>
          <w:p w14:paraId="40EC2CD6" w14:textId="77777777" w:rsidR="0044156A" w:rsidRPr="00927767" w:rsidRDefault="0044156A" w:rsidP="0044156A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hinking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e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ducation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hrough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d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econstruction</w:t>
            </w:r>
          </w:p>
          <w:p w14:paraId="3F80EDC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發表人：洪如玉</w:t>
            </w:r>
          </w:p>
          <w:p w14:paraId="502FA61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（國立嘉義大學）</w:t>
            </w:r>
          </w:p>
          <w:p w14:paraId="4F02B6C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4156A" w:rsidRPr="00927767" w14:paraId="156DA25B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25F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10</w:t>
            </w:r>
          </w:p>
          <w:p w14:paraId="0731772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|</w:t>
            </w:r>
          </w:p>
          <w:p w14:paraId="0FB6029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383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0"/>
              </w:rPr>
              <w:t>休息</w:t>
            </w:r>
          </w:p>
        </w:tc>
      </w:tr>
      <w:tr w:rsidR="0044156A" w:rsidRPr="00927767" w14:paraId="45DE7E07" w14:textId="77777777" w:rsidTr="00927767">
        <w:trPr>
          <w:trHeight w:val="31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A2BE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  <w:p w14:paraId="7D72917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|</w:t>
            </w:r>
          </w:p>
          <w:p w14:paraId="2F43283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00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論文</w:t>
            </w:r>
          </w:p>
          <w:p w14:paraId="3E6AC9C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</w:rPr>
              <w:t>發表</w:t>
            </w:r>
          </w:p>
          <w:p w14:paraId="21CBC48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B58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lastRenderedPageBreak/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G401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DC4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G402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65C9" w14:textId="77777777" w:rsidR="0044156A" w:rsidRPr="00927767" w:rsidRDefault="0044156A" w:rsidP="00F668A6">
            <w:pPr>
              <w:widowControl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公誠樓四樓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G406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</w:rPr>
              <w:t>研討室</w:t>
            </w:r>
          </w:p>
        </w:tc>
      </w:tr>
      <w:tr w:rsidR="0044156A" w:rsidRPr="00927767" w14:paraId="64339196" w14:textId="77777777" w:rsidTr="00927767">
        <w:trPr>
          <w:trHeight w:val="332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9A4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B5C93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論文發表〈七〉</w:t>
            </w:r>
          </w:p>
          <w:p w14:paraId="6F2B264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6568587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主持人：</w:t>
            </w:r>
            <w:r w:rsidRPr="00927767">
              <w:rPr>
                <w:rFonts w:ascii="Times New Roman" w:eastAsia="標楷體" w:hAnsi="Times New Roman" w:cs="Times New Roman" w:hint="eastAsia"/>
              </w:rPr>
              <w:t>楊洲松</w:t>
            </w:r>
          </w:p>
          <w:p w14:paraId="6F15E16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國立暨南國際大學</w:t>
            </w:r>
          </w:p>
          <w:p w14:paraId="3575446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ECCD86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14:paraId="4398180E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3CDFA2FC" w14:textId="77777777" w:rsidR="0044156A" w:rsidRPr="00927767" w:rsidRDefault="0044156A" w:rsidP="0044156A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國中校外教學「反教育」現象的分析</w:t>
            </w:r>
          </w:p>
          <w:p w14:paraId="6A7C657A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發表人：李崗、李政霖</w:t>
            </w:r>
          </w:p>
          <w:p w14:paraId="414DE18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</w:p>
          <w:p w14:paraId="63D284BC" w14:textId="77777777" w:rsidR="0044156A" w:rsidRPr="00927767" w:rsidRDefault="0044156A" w:rsidP="0044156A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蘇格拉底對話法在特殊教育的應用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—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我與亞斯伯格症孩子的相遇</w:t>
            </w:r>
          </w:p>
          <w:p w14:paraId="1E3B081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發表人：張天泰</w:t>
            </w:r>
          </w:p>
          <w:p w14:paraId="59B18A5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</w:p>
          <w:p w14:paraId="0B14B905" w14:textId="77777777" w:rsidR="0044156A" w:rsidRPr="00927767" w:rsidRDefault="0044156A" w:rsidP="0044156A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「哲學諮商」如何運用於校園霸凌之防治及輔導？</w:t>
            </w:r>
          </w:p>
          <w:p w14:paraId="350ABC00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發表人：蕭美齡</w:t>
            </w:r>
          </w:p>
          <w:p w14:paraId="77DB14E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</w:p>
          <w:p w14:paraId="2ABDD802" w14:textId="77777777" w:rsidR="0044156A" w:rsidRPr="00927767" w:rsidRDefault="0044156A" w:rsidP="0044156A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公費師資培育制度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-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舊思維還有新作為嗎</w:t>
            </w:r>
          </w:p>
          <w:p w14:paraId="5014826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李真文</w:t>
            </w:r>
          </w:p>
          <w:p w14:paraId="3DDB22F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〈國立東華大學〉</w:t>
            </w:r>
          </w:p>
          <w:p w14:paraId="1AD992D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D032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論文發表〈八〉</w:t>
            </w:r>
          </w:p>
          <w:p w14:paraId="4359C75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6640F86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主持人：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施宜煌</w:t>
            </w:r>
          </w:p>
          <w:p w14:paraId="65871A5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經國管理暨健康學院</w:t>
            </w:r>
          </w:p>
          <w:p w14:paraId="0B09F33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14:paraId="17C451A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14:paraId="617C86B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01493D01" w14:textId="77777777" w:rsidR="0044156A" w:rsidRPr="00927767" w:rsidRDefault="0044156A" w:rsidP="00F668A6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《老子自然哲學對台灣教改可能的貢獻》</w:t>
            </w:r>
          </w:p>
          <w:p w14:paraId="71B6020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發表人：譚宇權</w:t>
            </w:r>
          </w:p>
          <w:p w14:paraId="6E782533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1238015A" w14:textId="77777777" w:rsidR="0044156A" w:rsidRPr="00927767" w:rsidRDefault="0044156A" w:rsidP="00F668A6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《生命體驗與生命教育》</w:t>
            </w:r>
          </w:p>
          <w:p w14:paraId="09989BD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發表人：林泰石</w:t>
            </w:r>
          </w:p>
          <w:p w14:paraId="3EA0094F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1C91F2FE" w14:textId="77777777" w:rsidR="0044156A" w:rsidRPr="00927767" w:rsidRDefault="0044156A" w:rsidP="00F668A6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《法國教育學家佛赫內（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Célestin Freinet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）的教育思想及其教育實踐對於當代環境教育的啟示》</w:t>
            </w:r>
          </w:p>
          <w:p w14:paraId="2623C53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發表人：許宏儒</w:t>
            </w:r>
          </w:p>
          <w:p w14:paraId="455127F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63067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論文發表〈九〉</w:t>
            </w:r>
          </w:p>
          <w:p w14:paraId="322BAFD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5104BAF1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主持人：</w:t>
            </w:r>
            <w:r w:rsidRPr="00927767">
              <w:rPr>
                <w:rFonts w:ascii="Times New Roman" w:eastAsia="標楷體" w:hAnsi="Times New Roman" w:cs="Times New Roman" w:hint="eastAsia"/>
              </w:rPr>
              <w:t>何佳瑞</w:t>
            </w:r>
          </w:p>
          <w:p w14:paraId="3D849D79" w14:textId="77777777" w:rsidR="0044156A" w:rsidRPr="00927767" w:rsidRDefault="0044156A" w:rsidP="00F668A6">
            <w:pPr>
              <w:tabs>
                <w:tab w:val="left" w:pos="820"/>
                <w:tab w:val="center" w:pos="1343"/>
              </w:tabs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ab/>
            </w:r>
            <w:r w:rsidRPr="00927767">
              <w:rPr>
                <w:rFonts w:ascii="Times New Roman" w:eastAsia="標楷體" w:hAnsi="Times New Roman" w:cs="Times New Roman"/>
                <w:sz w:val="20"/>
              </w:rPr>
              <w:tab/>
            </w:r>
            <w:r w:rsidRPr="00927767">
              <w:rPr>
                <w:rFonts w:ascii="Times New Roman" w:eastAsia="標楷體" w:hAnsi="Times New Roman" w:cs="Times New Roman" w:hint="eastAsia"/>
                <w:sz w:val="20"/>
              </w:rPr>
              <w:t>輔仁大學</w:t>
            </w:r>
          </w:p>
          <w:p w14:paraId="2399F05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63A61B1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766A00E4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發表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論文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5BB12C3A" w14:textId="77777777" w:rsidR="0044156A" w:rsidRPr="00927767" w:rsidRDefault="0044156A" w:rsidP="0044156A"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25" w:left="315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K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ohlberg’s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s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tages of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m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oral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d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evelopment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：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A d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angerous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r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anking of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v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alues</w:t>
            </w:r>
          </w:p>
          <w:p w14:paraId="36FAA196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發表人：蘇永明</w:t>
            </w:r>
          </w:p>
          <w:p w14:paraId="4815BC47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〈國立清華大學〉</w:t>
            </w:r>
          </w:p>
          <w:p w14:paraId="04E4BFE5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56A26E56" w14:textId="77777777" w:rsidR="0044156A" w:rsidRPr="00927767" w:rsidRDefault="0044156A" w:rsidP="0044156A"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25" w:left="315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eacher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p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rofessional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s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tandards in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t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he UK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：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v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alues,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p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olicies and 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p</w:t>
            </w:r>
            <w:r w:rsidRPr="0092776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ractices</w:t>
            </w:r>
          </w:p>
          <w:p w14:paraId="306FB14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發表人：許育萍</w:t>
            </w:r>
          </w:p>
          <w:p w14:paraId="47F10168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（靜宜大學）</w:t>
            </w:r>
          </w:p>
          <w:p w14:paraId="03CFBBF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ind w:left="735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536B9E25" w14:textId="77777777" w:rsidR="0044156A" w:rsidRPr="00927767" w:rsidRDefault="0044156A" w:rsidP="0044156A"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25" w:left="315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Expanding the horizons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：</w:t>
            </w:r>
            <w:r w:rsidRPr="0092776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Teaching philosophy to the indigenous communities </w:t>
            </w:r>
          </w:p>
          <w:p w14:paraId="629EC4FC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發表人：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Gina A.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 xml:space="preserve"> Opiniano</w:t>
            </w:r>
          </w:p>
          <w:p w14:paraId="7FF7E5B0" w14:textId="77777777" w:rsidR="0044156A" w:rsidRPr="00927767" w:rsidRDefault="0044156A" w:rsidP="00F668A6">
            <w:pPr>
              <w:snapToGrid w:val="0"/>
              <w:spacing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University of the City of Manil, Philippines</w:t>
            </w: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</w:tc>
      </w:tr>
      <w:tr w:rsidR="0044156A" w:rsidRPr="0044156A" w14:paraId="2610B4EB" w14:textId="77777777" w:rsidTr="0092776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5230D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lastRenderedPageBreak/>
              <w:t>18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00</w:t>
            </w:r>
          </w:p>
          <w:p w14:paraId="27FE715B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 w:hint="eastAsia"/>
                <w:sz w:val="22"/>
              </w:rPr>
              <w:t>|</w:t>
            </w:r>
          </w:p>
          <w:p w14:paraId="674F7C69" w14:textId="77777777" w:rsidR="0044156A" w:rsidRPr="00927767" w:rsidRDefault="0044156A" w:rsidP="00F668A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927767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927767">
              <w:rPr>
                <w:rFonts w:ascii="Times New Roman" w:eastAsia="標楷體" w:hAnsi="Times New Roman" w:cs="Times New Roman"/>
                <w:sz w:val="22"/>
              </w:rPr>
              <w:t>10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A581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閉幕式</w:t>
            </w:r>
          </w:p>
          <w:p w14:paraId="032E2C25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地點：公誠樓四樓</w:t>
            </w:r>
            <w:r w:rsidRPr="00927767">
              <w:rPr>
                <w:rFonts w:ascii="Times New Roman" w:eastAsia="標楷體" w:hAnsi="Times New Roman" w:cs="Times New Roman" w:hint="eastAsia"/>
              </w:rPr>
              <w:t>G40</w:t>
            </w:r>
            <w:r w:rsidRPr="00927767">
              <w:rPr>
                <w:rFonts w:ascii="Times New Roman" w:eastAsia="標楷體" w:hAnsi="Times New Roman" w:cs="Times New Roman"/>
              </w:rPr>
              <w:t>1</w:t>
            </w:r>
            <w:r w:rsidRPr="00927767">
              <w:rPr>
                <w:rFonts w:ascii="Times New Roman" w:eastAsia="標楷體" w:hAnsi="Times New Roman" w:cs="Times New Roman" w:hint="eastAsia"/>
              </w:rPr>
              <w:t>教室</w:t>
            </w:r>
          </w:p>
          <w:p w14:paraId="1D6038AC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F6ADEEE" w14:textId="77777777" w:rsidR="0044156A" w:rsidRPr="00927767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下一屆研討會主辦單位</w:t>
            </w:r>
          </w:p>
          <w:p w14:paraId="11F6FCAC" w14:textId="77777777" w:rsidR="0044156A" w:rsidRPr="0044156A" w:rsidRDefault="0044156A" w:rsidP="00F668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7767">
              <w:rPr>
                <w:rFonts w:ascii="Times New Roman" w:eastAsia="標楷體" w:hAnsi="Times New Roman" w:cs="Times New Roman" w:hint="eastAsia"/>
              </w:rPr>
              <w:t>（國立中正大學教育學研究所）交接</w:t>
            </w:r>
          </w:p>
          <w:p w14:paraId="4B480C67" w14:textId="77777777" w:rsidR="0044156A" w:rsidRPr="0044156A" w:rsidRDefault="0044156A" w:rsidP="00F668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bookmarkEnd w:id="1"/>
    </w:tbl>
    <w:p w14:paraId="69F96B9E" w14:textId="77777777" w:rsidR="0044156A" w:rsidRPr="0044156A" w:rsidRDefault="0044156A" w:rsidP="0044156A">
      <w:pPr>
        <w:rPr>
          <w:rFonts w:ascii="Times New Roman" w:eastAsia="標楷體" w:hAnsi="Times New Roman"/>
        </w:rPr>
      </w:pPr>
    </w:p>
    <w:p w14:paraId="69F40A1B" w14:textId="77777777" w:rsidR="0044156A" w:rsidRPr="0044156A" w:rsidRDefault="0044156A" w:rsidP="00F22C49">
      <w:pPr>
        <w:ind w:left="560" w:hangingChars="200" w:hanging="560"/>
        <w:rPr>
          <w:rFonts w:ascii="Times New Roman" w:eastAsia="標楷體" w:hAnsi="Times New Roman"/>
          <w:sz w:val="28"/>
        </w:rPr>
      </w:pPr>
    </w:p>
    <w:sectPr w:rsidR="0044156A" w:rsidRPr="0044156A" w:rsidSect="0044156A">
      <w:footerReference w:type="default" r:id="rId8"/>
      <w:pgSz w:w="11900" w:h="16840" w:code="9"/>
      <w:pgMar w:top="1440" w:right="1797" w:bottom="1440" w:left="1797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12494" w14:textId="77777777" w:rsidR="005B1F46" w:rsidRDefault="005B1F46" w:rsidP="00724A6A">
      <w:r>
        <w:separator/>
      </w:r>
    </w:p>
  </w:endnote>
  <w:endnote w:type="continuationSeparator" w:id="0">
    <w:p w14:paraId="4E3AC44B" w14:textId="77777777" w:rsidR="005B1F46" w:rsidRDefault="005B1F46" w:rsidP="0072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481609"/>
      <w:docPartObj>
        <w:docPartGallery w:val="Page Numbers (Bottom of Page)"/>
        <w:docPartUnique/>
      </w:docPartObj>
    </w:sdtPr>
    <w:sdtEndPr/>
    <w:sdtContent>
      <w:p w14:paraId="6546EB92" w14:textId="73E11D1E" w:rsidR="00FE4B94" w:rsidRDefault="00FE4B94" w:rsidP="00A34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7B" w:rsidRPr="00B36A7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08538" w14:textId="77777777" w:rsidR="005B1F46" w:rsidRDefault="005B1F46" w:rsidP="00724A6A">
      <w:r>
        <w:separator/>
      </w:r>
    </w:p>
  </w:footnote>
  <w:footnote w:type="continuationSeparator" w:id="0">
    <w:p w14:paraId="3769FE7E" w14:textId="77777777" w:rsidR="005B1F46" w:rsidRDefault="005B1F46" w:rsidP="0072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E3E"/>
    <w:multiLevelType w:val="hybridMultilevel"/>
    <w:tmpl w:val="BE984794"/>
    <w:lvl w:ilvl="0" w:tplc="8EB42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06697"/>
    <w:multiLevelType w:val="hybridMultilevel"/>
    <w:tmpl w:val="DF94F270"/>
    <w:lvl w:ilvl="0" w:tplc="53485A70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70FCE"/>
    <w:multiLevelType w:val="hybridMultilevel"/>
    <w:tmpl w:val="07047B5E"/>
    <w:lvl w:ilvl="0" w:tplc="53485A70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2622B1"/>
    <w:multiLevelType w:val="hybridMultilevel"/>
    <w:tmpl w:val="94864184"/>
    <w:lvl w:ilvl="0" w:tplc="53928382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E36927"/>
    <w:multiLevelType w:val="hybridMultilevel"/>
    <w:tmpl w:val="6820FF0E"/>
    <w:lvl w:ilvl="0" w:tplc="35BE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306E2C"/>
    <w:multiLevelType w:val="hybridMultilevel"/>
    <w:tmpl w:val="0686BBE6"/>
    <w:lvl w:ilvl="0" w:tplc="B2B66CE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A74664B"/>
    <w:multiLevelType w:val="hybridMultilevel"/>
    <w:tmpl w:val="6D0A8D80"/>
    <w:lvl w:ilvl="0" w:tplc="2886EC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A8545B"/>
    <w:multiLevelType w:val="hybridMultilevel"/>
    <w:tmpl w:val="3BA81958"/>
    <w:lvl w:ilvl="0" w:tplc="8A1E3CCC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361006"/>
    <w:multiLevelType w:val="hybridMultilevel"/>
    <w:tmpl w:val="62DE6CE8"/>
    <w:lvl w:ilvl="0" w:tplc="24BA4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ED2BAF"/>
    <w:multiLevelType w:val="hybridMultilevel"/>
    <w:tmpl w:val="FA145506"/>
    <w:lvl w:ilvl="0" w:tplc="D594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664988"/>
    <w:multiLevelType w:val="hybridMultilevel"/>
    <w:tmpl w:val="D246516C"/>
    <w:lvl w:ilvl="0" w:tplc="1ADCE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48"/>
    <w:rsid w:val="00015D15"/>
    <w:rsid w:val="00061DDC"/>
    <w:rsid w:val="0009215B"/>
    <w:rsid w:val="000E2DA9"/>
    <w:rsid w:val="001E0A9E"/>
    <w:rsid w:val="002A1F5F"/>
    <w:rsid w:val="002B64B8"/>
    <w:rsid w:val="002D5FDF"/>
    <w:rsid w:val="003608E9"/>
    <w:rsid w:val="00393399"/>
    <w:rsid w:val="003F396E"/>
    <w:rsid w:val="0044156A"/>
    <w:rsid w:val="00442A6A"/>
    <w:rsid w:val="00480217"/>
    <w:rsid w:val="00493316"/>
    <w:rsid w:val="004F43B5"/>
    <w:rsid w:val="005154F0"/>
    <w:rsid w:val="005B1F46"/>
    <w:rsid w:val="005C7D5F"/>
    <w:rsid w:val="005F1AA2"/>
    <w:rsid w:val="00617455"/>
    <w:rsid w:val="00660642"/>
    <w:rsid w:val="00660959"/>
    <w:rsid w:val="00673C71"/>
    <w:rsid w:val="00696397"/>
    <w:rsid w:val="0071500A"/>
    <w:rsid w:val="00724A6A"/>
    <w:rsid w:val="00741B88"/>
    <w:rsid w:val="007A4D79"/>
    <w:rsid w:val="007B6AFE"/>
    <w:rsid w:val="007E0F70"/>
    <w:rsid w:val="00862FBC"/>
    <w:rsid w:val="00875DAE"/>
    <w:rsid w:val="00886C48"/>
    <w:rsid w:val="008E44F6"/>
    <w:rsid w:val="00911D57"/>
    <w:rsid w:val="00927767"/>
    <w:rsid w:val="009327BA"/>
    <w:rsid w:val="00A30760"/>
    <w:rsid w:val="00A31CCD"/>
    <w:rsid w:val="00A34ACE"/>
    <w:rsid w:val="00A66623"/>
    <w:rsid w:val="00B36A7B"/>
    <w:rsid w:val="00B86F42"/>
    <w:rsid w:val="00BB42EE"/>
    <w:rsid w:val="00BC6C80"/>
    <w:rsid w:val="00C07E85"/>
    <w:rsid w:val="00C32544"/>
    <w:rsid w:val="00D96E05"/>
    <w:rsid w:val="00E465E3"/>
    <w:rsid w:val="00E77CB6"/>
    <w:rsid w:val="00EA37B5"/>
    <w:rsid w:val="00ED32A1"/>
    <w:rsid w:val="00F22C49"/>
    <w:rsid w:val="00F235D9"/>
    <w:rsid w:val="00F526E0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037FD"/>
  <w14:defaultImageDpi w14:val="32767"/>
  <w15:docId w15:val="{6E0D719A-3D89-4065-A7F6-A87D8D8F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4A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4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4A6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0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0760"/>
    <w:pPr>
      <w:ind w:leftChars="200" w:left="48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AA77-A714-49E0-A508-620000E2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 Chien</dc:creator>
  <cp:lastModifiedBy>高圓真</cp:lastModifiedBy>
  <cp:revision>2</cp:revision>
  <cp:lastPrinted>2018-01-16T06:04:00Z</cp:lastPrinted>
  <dcterms:created xsi:type="dcterms:W3CDTF">2018-02-12T01:23:00Z</dcterms:created>
  <dcterms:modified xsi:type="dcterms:W3CDTF">2018-02-12T01:23:00Z</dcterms:modified>
</cp:coreProperties>
</file>