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日臺教授國部字第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r w:rsidRPr="00C15447">
        <w:rPr>
          <w:rFonts w:eastAsia="標楷體"/>
        </w:rPr>
        <w:t>一</w:t>
      </w:r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一</w:t>
      </w:r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7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與會教師予以公假出席及課務</w:t>
      </w:r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FC1D87">
      <w:pPr>
        <w:autoSpaceDE w:val="0"/>
        <w:autoSpaceDN w:val="0"/>
        <w:adjustRightInd w:val="0"/>
        <w:spacing w:beforeLines="100" w:before="240" w:afterLines="50" w:after="12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FC1D87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FC1D87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FC1D87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3D" w:rsidRDefault="0036533D" w:rsidP="00793579">
      <w:r>
        <w:separator/>
      </w:r>
    </w:p>
  </w:endnote>
  <w:endnote w:type="continuationSeparator" w:id="0">
    <w:p w:rsidR="0036533D" w:rsidRDefault="0036533D" w:rsidP="007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3D" w:rsidRDefault="0036533D" w:rsidP="00793579">
      <w:r>
        <w:separator/>
      </w:r>
    </w:p>
  </w:footnote>
  <w:footnote w:type="continuationSeparator" w:id="0">
    <w:p w:rsidR="0036533D" w:rsidRDefault="0036533D" w:rsidP="0079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B7575"/>
    <w:rsid w:val="002D1AE4"/>
    <w:rsid w:val="002F5AFC"/>
    <w:rsid w:val="00306206"/>
    <w:rsid w:val="003070A0"/>
    <w:rsid w:val="0031685E"/>
    <w:rsid w:val="003220DA"/>
    <w:rsid w:val="0036533D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B5E3B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0ADD34-B7AE-4A1C-B290-C631A67E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j@rcpet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>心測中心</Company>
  <LinksUpToDate>false</LinksUpToDate>
  <CharactersWithSpaces>1494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subject/>
  <dc:creator>SCO</dc:creator>
  <cp:keywords/>
  <cp:lastModifiedBy>高圓真</cp:lastModifiedBy>
  <cp:revision>2</cp:revision>
  <cp:lastPrinted>2017-06-26T02:24:00Z</cp:lastPrinted>
  <dcterms:created xsi:type="dcterms:W3CDTF">2018-03-14T06:04:00Z</dcterms:created>
  <dcterms:modified xsi:type="dcterms:W3CDTF">2018-03-14T06:04:00Z</dcterms:modified>
</cp:coreProperties>
</file>