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CAE" w:rsidRPr="002A6C87" w:rsidRDefault="00903C20" w:rsidP="002A6C87">
      <w:pPr>
        <w:spacing w:line="460" w:lineRule="exact"/>
        <w:jc w:val="center"/>
        <w:rPr>
          <w:rFonts w:ascii="標楷體" w:eastAsia="標楷體" w:hAnsi="標楷體"/>
          <w:sz w:val="40"/>
          <w:szCs w:val="40"/>
        </w:rPr>
      </w:pPr>
      <w:bookmarkStart w:id="0" w:name="_GoBack"/>
      <w:bookmarkEnd w:id="0"/>
      <w:r w:rsidRPr="002A6C87">
        <w:rPr>
          <w:rFonts w:ascii="標楷體" w:eastAsia="標楷體" w:hAnsi="標楷體" w:hint="eastAsia"/>
          <w:sz w:val="40"/>
          <w:szCs w:val="40"/>
        </w:rPr>
        <w:t>「行政院與所屬中央及地方各機關公務人員休假改進措施第五點」</w:t>
      </w:r>
      <w:r w:rsidR="002A6C87">
        <w:rPr>
          <w:rFonts w:ascii="標楷體" w:eastAsia="標楷體" w:hAnsi="標楷體" w:hint="eastAsia"/>
          <w:sz w:val="40"/>
          <w:szCs w:val="40"/>
        </w:rPr>
        <w:t>修正</w:t>
      </w:r>
      <w:r w:rsidRPr="002A6C87">
        <w:rPr>
          <w:rFonts w:ascii="標楷體" w:eastAsia="標楷體" w:hAnsi="標楷體" w:hint="eastAsia"/>
          <w:sz w:val="40"/>
          <w:szCs w:val="40"/>
        </w:rPr>
        <w:t>對照表</w:t>
      </w:r>
    </w:p>
    <w:p w:rsidR="00903C20" w:rsidRDefault="00903C20"/>
    <w:tbl>
      <w:tblPr>
        <w:tblStyle w:val="a3"/>
        <w:tblW w:w="0" w:type="auto"/>
        <w:tblLook w:val="04A0" w:firstRow="1" w:lastRow="0" w:firstColumn="1" w:lastColumn="0" w:noHBand="0" w:noVBand="1"/>
      </w:tblPr>
      <w:tblGrid>
        <w:gridCol w:w="3249"/>
        <w:gridCol w:w="3249"/>
        <w:gridCol w:w="3249"/>
      </w:tblGrid>
      <w:tr w:rsidR="00942236" w:rsidTr="00940F60">
        <w:tc>
          <w:tcPr>
            <w:tcW w:w="3249" w:type="dxa"/>
            <w:vAlign w:val="center"/>
          </w:tcPr>
          <w:p w:rsidR="00942236" w:rsidRPr="00FE3A0B" w:rsidRDefault="00942236" w:rsidP="00940F60">
            <w:pPr>
              <w:jc w:val="center"/>
              <w:rPr>
                <w:rFonts w:ascii="標楷體" w:eastAsia="標楷體" w:hAnsi="標楷體"/>
                <w:b/>
              </w:rPr>
            </w:pPr>
            <w:r w:rsidRPr="00FE3A0B">
              <w:rPr>
                <w:rFonts w:ascii="標楷體" w:eastAsia="標楷體" w:hAnsi="標楷體" w:hint="eastAsia"/>
                <w:b/>
              </w:rPr>
              <w:t>修正規定</w:t>
            </w:r>
          </w:p>
        </w:tc>
        <w:tc>
          <w:tcPr>
            <w:tcW w:w="3249" w:type="dxa"/>
            <w:vAlign w:val="center"/>
          </w:tcPr>
          <w:p w:rsidR="00942236" w:rsidRPr="00FE3A0B" w:rsidRDefault="00942236" w:rsidP="00940F60">
            <w:pPr>
              <w:jc w:val="center"/>
              <w:rPr>
                <w:rFonts w:ascii="標楷體" w:eastAsia="標楷體" w:hAnsi="標楷體"/>
                <w:b/>
              </w:rPr>
            </w:pPr>
            <w:r w:rsidRPr="00FE3A0B">
              <w:rPr>
                <w:rFonts w:ascii="標楷體" w:eastAsia="標楷體" w:hAnsi="標楷體" w:hint="eastAsia"/>
                <w:b/>
              </w:rPr>
              <w:t>現行規定</w:t>
            </w:r>
          </w:p>
        </w:tc>
        <w:tc>
          <w:tcPr>
            <w:tcW w:w="3249" w:type="dxa"/>
            <w:vAlign w:val="center"/>
          </w:tcPr>
          <w:p w:rsidR="00942236" w:rsidRPr="00FE3A0B" w:rsidRDefault="00942236" w:rsidP="00940F60">
            <w:pPr>
              <w:jc w:val="center"/>
              <w:rPr>
                <w:rFonts w:ascii="標楷體" w:eastAsia="標楷體" w:hAnsi="標楷體"/>
                <w:b/>
              </w:rPr>
            </w:pPr>
            <w:r w:rsidRPr="00FE3A0B">
              <w:rPr>
                <w:rFonts w:ascii="標楷體" w:eastAsia="標楷體" w:hAnsi="標楷體" w:hint="eastAsia"/>
                <w:b/>
              </w:rPr>
              <w:t>說明</w:t>
            </w:r>
          </w:p>
        </w:tc>
      </w:tr>
      <w:tr w:rsidR="00942236" w:rsidTr="00942236">
        <w:tc>
          <w:tcPr>
            <w:tcW w:w="3249" w:type="dxa"/>
          </w:tcPr>
          <w:p w:rsidR="00A454C8" w:rsidRDefault="00A454C8" w:rsidP="00A454C8">
            <w:pPr>
              <w:ind w:leftChars="-54" w:left="295" w:hangingChars="177" w:hanging="425"/>
              <w:jc w:val="both"/>
              <w:rPr>
                <w:rFonts w:ascii="標楷體" w:eastAsia="標楷體" w:hAnsi="標楷體"/>
              </w:rPr>
            </w:pPr>
            <w:r w:rsidRPr="00942236">
              <w:rPr>
                <w:rFonts w:ascii="標楷體" w:eastAsia="標楷體" w:hAnsi="標楷體" w:hint="eastAsia"/>
              </w:rPr>
              <w:t>五、為鼓勵公務人員利用休假從事正當休閒旅遊及藝文活動，振興觀光休閒旅遊及藝文產業，帶動就業風潮，各機關對於所屬公務人員請國內休假者，應按下列方式核發休假補助費；所需費用，於各機關預算之人事費等相關經費項下勻支：</w:t>
            </w:r>
          </w:p>
          <w:p w:rsidR="00A454C8" w:rsidRPr="00942236" w:rsidRDefault="00A454C8" w:rsidP="00A454C8">
            <w:pPr>
              <w:ind w:leftChars="63" w:left="859" w:hangingChars="295" w:hanging="708"/>
              <w:jc w:val="both"/>
              <w:rPr>
                <w:rFonts w:ascii="標楷體" w:eastAsia="標楷體" w:hAnsi="標楷體"/>
              </w:rPr>
            </w:pPr>
            <w:r w:rsidRPr="00942236">
              <w:rPr>
                <w:rFonts w:ascii="標楷體" w:eastAsia="標楷體" w:hAnsi="標楷體" w:hint="eastAsia"/>
              </w:rPr>
              <w:t>（一）應休畢日數（十四日以內）之休假部分：</w:t>
            </w:r>
          </w:p>
          <w:p w:rsidR="00A454C8" w:rsidRPr="00942236" w:rsidRDefault="00A454C8" w:rsidP="00A454C8">
            <w:pPr>
              <w:ind w:leftChars="182" w:left="862" w:hangingChars="177" w:hanging="425"/>
              <w:jc w:val="both"/>
              <w:rPr>
                <w:rFonts w:ascii="標楷體" w:eastAsia="標楷體" w:hAnsi="標楷體"/>
              </w:rPr>
            </w:pPr>
            <w:r>
              <w:rPr>
                <w:rFonts w:ascii="標楷體" w:eastAsia="標楷體" w:hAnsi="標楷體" w:hint="eastAsia"/>
              </w:rPr>
              <w:t xml:space="preserve"> </w:t>
            </w:r>
            <w:r w:rsidRPr="00942236">
              <w:rPr>
                <w:rFonts w:ascii="標楷體" w:eastAsia="標楷體" w:hAnsi="標楷體" w:hint="eastAsia"/>
              </w:rPr>
              <w:t>1.休假期間以國民旅遊卡於交通部觀光局審核通過之國民旅遊卡特約商店（業別及細項分類如附表）刷卡消費，依下列規定予以補助：</w:t>
            </w:r>
          </w:p>
          <w:p w:rsidR="00A454C8" w:rsidRDefault="00A454C8" w:rsidP="00A454C8">
            <w:pPr>
              <w:ind w:leftChars="300" w:left="1145" w:hangingChars="177" w:hanging="425"/>
              <w:jc w:val="both"/>
              <w:rPr>
                <w:rFonts w:ascii="標楷體" w:eastAsia="標楷體" w:hAnsi="標楷體"/>
              </w:rPr>
            </w:pPr>
            <w:r w:rsidRPr="00942236">
              <w:rPr>
                <w:rFonts w:ascii="標楷體" w:eastAsia="標楷體" w:hAnsi="標楷體" w:hint="eastAsia"/>
              </w:rPr>
              <w:t>(1)於旅行業、旅宿業、觀光遊樂業之刷卡消費，加倍補助。</w:t>
            </w:r>
          </w:p>
          <w:p w:rsidR="00A454C8" w:rsidRPr="00942236" w:rsidRDefault="00A454C8" w:rsidP="00A454C8">
            <w:pPr>
              <w:ind w:leftChars="300" w:left="1145" w:hangingChars="177" w:hanging="425"/>
              <w:jc w:val="both"/>
              <w:rPr>
                <w:rFonts w:ascii="標楷體" w:eastAsia="標楷體" w:hAnsi="標楷體"/>
              </w:rPr>
            </w:pPr>
            <w:r w:rsidRPr="00942236">
              <w:rPr>
                <w:rFonts w:ascii="標楷體" w:eastAsia="標楷體" w:hAnsi="標楷體" w:hint="eastAsia"/>
              </w:rPr>
              <w:t>(2)於其他行業別之刷卡消費，核實補助。</w:t>
            </w:r>
          </w:p>
          <w:p w:rsidR="00A454C8" w:rsidRPr="00942236" w:rsidRDefault="00A454C8" w:rsidP="00A454C8">
            <w:pPr>
              <w:ind w:leftChars="182" w:left="862" w:hangingChars="177" w:hanging="425"/>
              <w:jc w:val="both"/>
              <w:rPr>
                <w:rFonts w:ascii="標楷體" w:eastAsia="標楷體" w:hAnsi="標楷體"/>
              </w:rPr>
            </w:pPr>
            <w:r>
              <w:rPr>
                <w:rFonts w:ascii="標楷體" w:eastAsia="標楷體" w:hAnsi="標楷體" w:hint="eastAsia"/>
              </w:rPr>
              <w:t xml:space="preserve"> </w:t>
            </w:r>
            <w:r w:rsidRPr="00942236">
              <w:rPr>
                <w:rFonts w:ascii="標楷體" w:eastAsia="標楷體" w:hAnsi="標楷體" w:hint="eastAsia"/>
              </w:rPr>
              <w:t>2.公務人員每人全年合計補助總額最高以新臺幣一萬六千元為限。但未具休假十四日資格者，其全年最高補助總額按所具休假日數依比例核發，以每日新臺幣一千一</w:t>
            </w:r>
            <w:r w:rsidRPr="00942236">
              <w:rPr>
                <w:rFonts w:ascii="標楷體" w:eastAsia="標楷體" w:hAnsi="標楷體" w:hint="eastAsia"/>
              </w:rPr>
              <w:lastRenderedPageBreak/>
              <w:t>百四十三元計算；未持用國民旅遊卡刷卡消費者，不予補助。</w:t>
            </w:r>
          </w:p>
          <w:p w:rsidR="00A454C8" w:rsidRDefault="00A454C8" w:rsidP="00A454C8">
            <w:pPr>
              <w:ind w:leftChars="242" w:left="862" w:hangingChars="117" w:hanging="281"/>
              <w:jc w:val="both"/>
              <w:rPr>
                <w:rFonts w:ascii="標楷體" w:eastAsia="標楷體" w:hAnsi="標楷體"/>
              </w:rPr>
            </w:pPr>
            <w:r w:rsidRPr="00942236">
              <w:rPr>
                <w:rFonts w:ascii="標楷體" w:eastAsia="標楷體" w:hAnsi="標楷體" w:hint="eastAsia"/>
              </w:rPr>
              <w:t>3.休假期</w:t>
            </w:r>
            <w:r w:rsidR="003147CD">
              <w:rPr>
                <w:rFonts w:ascii="標楷體" w:eastAsia="標楷體" w:hAnsi="標楷體" w:hint="eastAsia"/>
              </w:rPr>
              <w:t>間</w:t>
            </w:r>
            <w:r w:rsidRPr="003147CD">
              <w:rPr>
                <w:rFonts w:ascii="標楷體" w:eastAsia="標楷體" w:hAnsi="標楷體" w:hint="eastAsia"/>
                <w:u w:val="single"/>
              </w:rPr>
              <w:t>及</w:t>
            </w:r>
            <w:r w:rsidR="00AF2C54">
              <w:rPr>
                <w:rFonts w:ascii="標楷體" w:eastAsia="標楷體" w:hAnsi="標楷體" w:hint="eastAsia"/>
                <w:u w:val="single"/>
              </w:rPr>
              <w:t>其相連假日之連續</w:t>
            </w:r>
            <w:r w:rsidRPr="003147CD">
              <w:rPr>
                <w:rFonts w:ascii="標楷體" w:eastAsia="標楷體" w:hAnsi="標楷體" w:hint="eastAsia"/>
                <w:u w:val="single"/>
              </w:rPr>
              <w:t>期間</w:t>
            </w:r>
            <w:r w:rsidRPr="00942236">
              <w:rPr>
                <w:rFonts w:ascii="標楷體" w:eastAsia="標楷體" w:hAnsi="標楷體" w:hint="eastAsia"/>
              </w:rPr>
              <w:t>於旅行業、旅宿業、觀光遊樂業刷卡消費者，其與該休假期間相連之假日於各國民旅遊卡特約商店刷卡之消費，得併入補助範圍。</w:t>
            </w:r>
          </w:p>
          <w:p w:rsidR="00A454C8" w:rsidRPr="00942236" w:rsidRDefault="00A454C8" w:rsidP="00A454C8">
            <w:pPr>
              <w:ind w:leftChars="242" w:left="862" w:hangingChars="117" w:hanging="281"/>
              <w:jc w:val="both"/>
              <w:rPr>
                <w:rFonts w:ascii="標楷體" w:eastAsia="標楷體" w:hAnsi="標楷體"/>
              </w:rPr>
            </w:pPr>
            <w:r w:rsidRPr="00942236">
              <w:rPr>
                <w:rFonts w:ascii="標楷體" w:eastAsia="標楷體" w:hAnsi="標楷體" w:hint="eastAsia"/>
              </w:rPr>
              <w:t>4.符合第一目請領休假補助，其休假期間前後一日於國民旅遊卡特約商店刷卡消費之交通費用，得核實併入補助。</w:t>
            </w:r>
          </w:p>
          <w:p w:rsidR="00942236" w:rsidRDefault="00A454C8" w:rsidP="00A454C8">
            <w:pPr>
              <w:ind w:leftChars="59" w:left="850" w:hangingChars="295" w:hanging="708"/>
            </w:pPr>
            <w:r>
              <w:rPr>
                <w:rFonts w:ascii="標楷體" w:eastAsia="標楷體" w:hAnsi="標楷體" w:hint="eastAsia"/>
              </w:rPr>
              <w:t xml:space="preserve"> </w:t>
            </w:r>
            <w:r w:rsidRPr="00942236">
              <w:rPr>
                <w:rFonts w:ascii="標楷體" w:eastAsia="標楷體" w:hAnsi="標楷體" w:hint="eastAsia"/>
              </w:rPr>
              <w:t>（二）應休畢日數以外之休假部分：按日支給休假補助費新臺幣六百元；未達一日者，按日折半支給，於年終一併結算。</w:t>
            </w:r>
          </w:p>
        </w:tc>
        <w:tc>
          <w:tcPr>
            <w:tcW w:w="3249" w:type="dxa"/>
          </w:tcPr>
          <w:p w:rsidR="00942236" w:rsidRDefault="00942236" w:rsidP="00942236">
            <w:pPr>
              <w:ind w:leftChars="-54" w:left="295" w:hangingChars="177" w:hanging="425"/>
              <w:jc w:val="both"/>
              <w:rPr>
                <w:rFonts w:ascii="標楷體" w:eastAsia="標楷體" w:hAnsi="標楷體"/>
              </w:rPr>
            </w:pPr>
            <w:r w:rsidRPr="00942236">
              <w:rPr>
                <w:rFonts w:ascii="標楷體" w:eastAsia="標楷體" w:hAnsi="標楷體" w:hint="eastAsia"/>
              </w:rPr>
              <w:lastRenderedPageBreak/>
              <w:t>五、為鼓勵公務人員利用休假從事正當休閒旅遊及藝文活動，振興觀光休閒旅遊及藝文產業，帶動就業風潮，各機關對於所屬公務人員請國內休假者，應按下列方式核發休假補助費；所需費用，於各機關預算之人事費等相關經費項下勻支：</w:t>
            </w:r>
          </w:p>
          <w:p w:rsidR="00942236" w:rsidRPr="00942236" w:rsidRDefault="00942236" w:rsidP="00942236">
            <w:pPr>
              <w:ind w:leftChars="63" w:left="859" w:hangingChars="295" w:hanging="708"/>
              <w:jc w:val="both"/>
              <w:rPr>
                <w:rFonts w:ascii="標楷體" w:eastAsia="標楷體" w:hAnsi="標楷體"/>
              </w:rPr>
            </w:pPr>
            <w:r w:rsidRPr="00942236">
              <w:rPr>
                <w:rFonts w:ascii="標楷體" w:eastAsia="標楷體" w:hAnsi="標楷體" w:hint="eastAsia"/>
              </w:rPr>
              <w:t>（一）應休畢日數（十四日以內）之休假部分：</w:t>
            </w:r>
          </w:p>
          <w:p w:rsidR="00942236" w:rsidRPr="00942236" w:rsidRDefault="00942236" w:rsidP="00942236">
            <w:pPr>
              <w:ind w:leftChars="182" w:left="862" w:hangingChars="177" w:hanging="425"/>
              <w:jc w:val="both"/>
              <w:rPr>
                <w:rFonts w:ascii="標楷體" w:eastAsia="標楷體" w:hAnsi="標楷體"/>
              </w:rPr>
            </w:pPr>
            <w:r>
              <w:rPr>
                <w:rFonts w:ascii="標楷體" w:eastAsia="標楷體" w:hAnsi="標楷體" w:hint="eastAsia"/>
              </w:rPr>
              <w:t xml:space="preserve"> </w:t>
            </w:r>
            <w:r w:rsidRPr="00942236">
              <w:rPr>
                <w:rFonts w:ascii="標楷體" w:eastAsia="標楷體" w:hAnsi="標楷體" w:hint="eastAsia"/>
              </w:rPr>
              <w:t>1.休假期間以國民旅遊卡於交通部觀光局審核通過之國民旅遊卡特約商店（業別及細項分類如附表）刷卡消費，依下列規定予以補助：</w:t>
            </w:r>
          </w:p>
          <w:p w:rsidR="00D408F2" w:rsidRDefault="00942236" w:rsidP="00D408F2">
            <w:pPr>
              <w:ind w:leftChars="300" w:left="1145" w:hangingChars="177" w:hanging="425"/>
              <w:jc w:val="both"/>
              <w:rPr>
                <w:rFonts w:ascii="標楷體" w:eastAsia="標楷體" w:hAnsi="標楷體"/>
              </w:rPr>
            </w:pPr>
            <w:r w:rsidRPr="00942236">
              <w:rPr>
                <w:rFonts w:ascii="標楷體" w:eastAsia="標楷體" w:hAnsi="標楷體" w:hint="eastAsia"/>
              </w:rPr>
              <w:t>(1)於旅行業、旅宿業、觀光遊樂業之刷卡消費，加倍補助。</w:t>
            </w:r>
          </w:p>
          <w:p w:rsidR="00942236" w:rsidRPr="00942236" w:rsidRDefault="00942236" w:rsidP="00D408F2">
            <w:pPr>
              <w:ind w:leftChars="300" w:left="1145" w:hangingChars="177" w:hanging="425"/>
              <w:jc w:val="both"/>
              <w:rPr>
                <w:rFonts w:ascii="標楷體" w:eastAsia="標楷體" w:hAnsi="標楷體"/>
              </w:rPr>
            </w:pPr>
            <w:r w:rsidRPr="00942236">
              <w:rPr>
                <w:rFonts w:ascii="標楷體" w:eastAsia="標楷體" w:hAnsi="標楷體" w:hint="eastAsia"/>
              </w:rPr>
              <w:t>(2)於其他行業別之刷卡消費，核實補助。</w:t>
            </w:r>
          </w:p>
          <w:p w:rsidR="00942236" w:rsidRPr="00942236" w:rsidRDefault="00D408F2" w:rsidP="00D408F2">
            <w:pPr>
              <w:ind w:leftChars="182" w:left="862" w:hangingChars="177" w:hanging="425"/>
              <w:jc w:val="both"/>
              <w:rPr>
                <w:rFonts w:ascii="標楷體" w:eastAsia="標楷體" w:hAnsi="標楷體"/>
              </w:rPr>
            </w:pPr>
            <w:r>
              <w:rPr>
                <w:rFonts w:ascii="標楷體" w:eastAsia="標楷體" w:hAnsi="標楷體" w:hint="eastAsia"/>
              </w:rPr>
              <w:t xml:space="preserve"> </w:t>
            </w:r>
            <w:r w:rsidR="00942236" w:rsidRPr="00942236">
              <w:rPr>
                <w:rFonts w:ascii="標楷體" w:eastAsia="標楷體" w:hAnsi="標楷體" w:hint="eastAsia"/>
              </w:rPr>
              <w:t>2.公務人員每人全年合計補助總額最高以新臺幣一萬六千元為限。但未具休假十四日資格者，其全年最高補助總額按所具休假日數依比例核發，以每日新臺幣一千一</w:t>
            </w:r>
            <w:r w:rsidR="00942236" w:rsidRPr="00942236">
              <w:rPr>
                <w:rFonts w:ascii="標楷體" w:eastAsia="標楷體" w:hAnsi="標楷體" w:hint="eastAsia"/>
              </w:rPr>
              <w:lastRenderedPageBreak/>
              <w:t>百四十三元計算；未持用國民旅遊卡刷卡消費者，不予補助。</w:t>
            </w:r>
          </w:p>
          <w:p w:rsidR="00D408F2" w:rsidRDefault="00942236" w:rsidP="00D408F2">
            <w:pPr>
              <w:ind w:leftChars="242" w:left="862" w:hangingChars="117" w:hanging="281"/>
              <w:jc w:val="both"/>
              <w:rPr>
                <w:rFonts w:ascii="標楷體" w:eastAsia="標楷體" w:hAnsi="標楷體"/>
              </w:rPr>
            </w:pPr>
            <w:r w:rsidRPr="00942236">
              <w:rPr>
                <w:rFonts w:ascii="標楷體" w:eastAsia="標楷體" w:hAnsi="標楷體" w:hint="eastAsia"/>
              </w:rPr>
              <w:t>3.休假期間於旅行業、旅宿業、觀光遊樂業刷卡消費者，其與該休假期間相連之假日於各國民旅遊卡特約商店刷卡之消費，得併入補助範圍。</w:t>
            </w:r>
          </w:p>
          <w:p w:rsidR="00942236" w:rsidRPr="00942236" w:rsidRDefault="00942236" w:rsidP="00D408F2">
            <w:pPr>
              <w:ind w:leftChars="242" w:left="862" w:hangingChars="117" w:hanging="281"/>
              <w:jc w:val="both"/>
              <w:rPr>
                <w:rFonts w:ascii="標楷體" w:eastAsia="標楷體" w:hAnsi="標楷體"/>
              </w:rPr>
            </w:pPr>
            <w:r w:rsidRPr="00942236">
              <w:rPr>
                <w:rFonts w:ascii="標楷體" w:eastAsia="標楷體" w:hAnsi="標楷體" w:hint="eastAsia"/>
              </w:rPr>
              <w:t>4.符合第一目請領休假補助，其休假期間前後一日於國民旅遊卡特約商店刷卡消費之交通費用，得核實併入補助。</w:t>
            </w:r>
          </w:p>
          <w:p w:rsidR="00942236" w:rsidRDefault="00D408F2" w:rsidP="00D408F2">
            <w:pPr>
              <w:ind w:leftChars="5" w:left="862" w:hangingChars="354" w:hanging="850"/>
              <w:jc w:val="both"/>
            </w:pPr>
            <w:r>
              <w:rPr>
                <w:rFonts w:ascii="標楷體" w:eastAsia="標楷體" w:hAnsi="標楷體" w:hint="eastAsia"/>
              </w:rPr>
              <w:t xml:space="preserve"> </w:t>
            </w:r>
            <w:r w:rsidR="00942236" w:rsidRPr="00942236">
              <w:rPr>
                <w:rFonts w:ascii="標楷體" w:eastAsia="標楷體" w:hAnsi="標楷體" w:hint="eastAsia"/>
              </w:rPr>
              <w:t>（二）應休畢日數以外之休假部分：按日支給休假補助費新臺幣六百元；未達一日者，按日折半支給，於年終一併結算。</w:t>
            </w:r>
          </w:p>
        </w:tc>
        <w:tc>
          <w:tcPr>
            <w:tcW w:w="3249" w:type="dxa"/>
          </w:tcPr>
          <w:p w:rsidR="00942236" w:rsidRPr="00FE3A0B" w:rsidRDefault="00FE3A0B" w:rsidP="009C4E8D">
            <w:pPr>
              <w:jc w:val="both"/>
              <w:rPr>
                <w:rFonts w:ascii="標楷體" w:eastAsia="標楷體" w:hAnsi="標楷體"/>
              </w:rPr>
            </w:pPr>
            <w:r w:rsidRPr="00FE3A0B">
              <w:rPr>
                <w:rFonts w:ascii="標楷體" w:eastAsia="標楷體" w:hAnsi="標楷體" w:hint="eastAsia"/>
              </w:rPr>
              <w:lastRenderedPageBreak/>
              <w:t>考量公務</w:t>
            </w:r>
            <w:r w:rsidR="00940F60">
              <w:rPr>
                <w:rFonts w:ascii="標楷體" w:eastAsia="標楷體" w:hAnsi="標楷體" w:hint="eastAsia"/>
              </w:rPr>
              <w:t>人員多於例假日前後休假以規劃連續假期，惟常因不熟悉刷卡規定，而</w:t>
            </w:r>
            <w:r w:rsidRPr="00FE3A0B">
              <w:rPr>
                <w:rFonts w:ascii="標楷體" w:eastAsia="標楷體" w:hAnsi="標楷體" w:hint="eastAsia"/>
              </w:rPr>
              <w:t>於例假日</w:t>
            </w:r>
            <w:r w:rsidR="00940F60">
              <w:rPr>
                <w:rFonts w:ascii="標楷體" w:eastAsia="標楷體" w:hAnsi="標楷體" w:hint="eastAsia"/>
              </w:rPr>
              <w:t>刷卡（應於休假日刷卡），致使</w:t>
            </w:r>
            <w:r w:rsidRPr="00FE3A0B">
              <w:rPr>
                <w:rFonts w:ascii="標楷體" w:eastAsia="標楷體" w:hAnsi="標楷體" w:hint="eastAsia"/>
              </w:rPr>
              <w:t>無法核銷。為鼓勵公務人員進行旅遊且增加使用之便利，且放寬於休假期間及其相連例假日之連續假日期間至「旅行業」、「旅宿業」、「觀光遊樂業」等</w:t>
            </w:r>
            <w:r w:rsidR="009C4E8D">
              <w:rPr>
                <w:rFonts w:ascii="標楷體" w:eastAsia="標楷體" w:hAnsi="標楷體" w:hint="eastAsia"/>
              </w:rPr>
              <w:t>三</w:t>
            </w:r>
            <w:r>
              <w:rPr>
                <w:rFonts w:ascii="標楷體" w:eastAsia="標楷體" w:hAnsi="標楷體" w:hint="eastAsia"/>
              </w:rPr>
              <w:t>行業刷卡均可納入補助，尚不致影響提振觀光之政策效果，爰</w:t>
            </w:r>
            <w:r w:rsidR="002A6C87">
              <w:rPr>
                <w:rFonts w:ascii="標楷體" w:eastAsia="標楷體" w:hAnsi="標楷體" w:hint="eastAsia"/>
              </w:rPr>
              <w:t>修正</w:t>
            </w:r>
            <w:r w:rsidR="009C4E8D">
              <w:rPr>
                <w:rFonts w:ascii="標楷體" w:eastAsia="標楷體" w:hAnsi="標楷體" w:hint="eastAsia"/>
              </w:rPr>
              <w:t>第一款第三目，除現行規定外，增訂及</w:t>
            </w:r>
            <w:r w:rsidR="00560419">
              <w:rPr>
                <w:rFonts w:ascii="標楷體" w:eastAsia="標楷體" w:hAnsi="標楷體" w:hint="eastAsia"/>
              </w:rPr>
              <w:t>其相連假日之連續</w:t>
            </w:r>
            <w:r w:rsidRPr="00FE3A0B">
              <w:rPr>
                <w:rFonts w:ascii="標楷體" w:eastAsia="標楷體" w:hAnsi="標楷體" w:hint="eastAsia"/>
              </w:rPr>
              <w:t>期間，凡具「旅行業」、「旅宿業」、「觀光遊樂業」等</w:t>
            </w:r>
            <w:r w:rsidR="009C4E8D">
              <w:rPr>
                <w:rFonts w:ascii="標楷體" w:eastAsia="標楷體" w:hAnsi="標楷體" w:hint="eastAsia"/>
              </w:rPr>
              <w:t>三</w:t>
            </w:r>
            <w:r w:rsidRPr="00FE3A0B">
              <w:rPr>
                <w:rFonts w:ascii="標楷體" w:eastAsia="標楷體" w:hAnsi="標楷體" w:hint="eastAsia"/>
              </w:rPr>
              <w:t>行業之合格消費，所有合格消費均可納入補助。</w:t>
            </w:r>
          </w:p>
        </w:tc>
      </w:tr>
    </w:tbl>
    <w:p w:rsidR="00942236" w:rsidRDefault="00942236"/>
    <w:sectPr w:rsidR="00942236" w:rsidSect="00942236">
      <w:pgSz w:w="11906" w:h="16838"/>
      <w:pgMar w:top="1440" w:right="1134" w:bottom="1440"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F40" w:rsidRDefault="00162F40" w:rsidP="00FE3A0B">
      <w:r>
        <w:separator/>
      </w:r>
    </w:p>
  </w:endnote>
  <w:endnote w:type="continuationSeparator" w:id="0">
    <w:p w:rsidR="00162F40" w:rsidRDefault="00162F40" w:rsidP="00FE3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新細明體">
    <w:altName w:val="PMingLiU"/>
    <w:panose1 w:val="02020300000000000000"/>
    <w:charset w:val="88"/>
    <w:family w:val="roman"/>
    <w:pitch w:val="variable"/>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F40" w:rsidRDefault="00162F40" w:rsidP="00FE3A0B">
      <w:r>
        <w:separator/>
      </w:r>
    </w:p>
  </w:footnote>
  <w:footnote w:type="continuationSeparator" w:id="0">
    <w:p w:rsidR="00162F40" w:rsidRDefault="00162F40" w:rsidP="00FE3A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236"/>
    <w:rsid w:val="00082A0D"/>
    <w:rsid w:val="00112185"/>
    <w:rsid w:val="0012042E"/>
    <w:rsid w:val="00162F40"/>
    <w:rsid w:val="001A17D2"/>
    <w:rsid w:val="00274D2F"/>
    <w:rsid w:val="002A6C87"/>
    <w:rsid w:val="003147CD"/>
    <w:rsid w:val="003A22F0"/>
    <w:rsid w:val="003A677E"/>
    <w:rsid w:val="003B540F"/>
    <w:rsid w:val="004134F7"/>
    <w:rsid w:val="0041733B"/>
    <w:rsid w:val="00491689"/>
    <w:rsid w:val="004C768E"/>
    <w:rsid w:val="004E3C37"/>
    <w:rsid w:val="0051124F"/>
    <w:rsid w:val="00541580"/>
    <w:rsid w:val="00560419"/>
    <w:rsid w:val="00672236"/>
    <w:rsid w:val="006A7CAE"/>
    <w:rsid w:val="006F5EAC"/>
    <w:rsid w:val="007957E9"/>
    <w:rsid w:val="007B599C"/>
    <w:rsid w:val="00833C28"/>
    <w:rsid w:val="008701BD"/>
    <w:rsid w:val="008E612C"/>
    <w:rsid w:val="008E6193"/>
    <w:rsid w:val="00903C20"/>
    <w:rsid w:val="0093171F"/>
    <w:rsid w:val="00940F60"/>
    <w:rsid w:val="00942236"/>
    <w:rsid w:val="00984FB0"/>
    <w:rsid w:val="009C4E8D"/>
    <w:rsid w:val="009F1DCF"/>
    <w:rsid w:val="00A3053B"/>
    <w:rsid w:val="00A454C8"/>
    <w:rsid w:val="00AF2C54"/>
    <w:rsid w:val="00B02293"/>
    <w:rsid w:val="00B24ABF"/>
    <w:rsid w:val="00B969E3"/>
    <w:rsid w:val="00BB0F6C"/>
    <w:rsid w:val="00BD270D"/>
    <w:rsid w:val="00C35B4B"/>
    <w:rsid w:val="00C67C44"/>
    <w:rsid w:val="00C8791D"/>
    <w:rsid w:val="00C963B5"/>
    <w:rsid w:val="00CD4F61"/>
    <w:rsid w:val="00D177FF"/>
    <w:rsid w:val="00D408F2"/>
    <w:rsid w:val="00DD2B84"/>
    <w:rsid w:val="00E6610A"/>
    <w:rsid w:val="00E776B4"/>
    <w:rsid w:val="00EC5738"/>
    <w:rsid w:val="00EE661C"/>
    <w:rsid w:val="00F021B2"/>
    <w:rsid w:val="00FE3A0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422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FE3A0B"/>
    <w:pPr>
      <w:tabs>
        <w:tab w:val="center" w:pos="4153"/>
        <w:tab w:val="right" w:pos="8306"/>
      </w:tabs>
      <w:snapToGrid w:val="0"/>
    </w:pPr>
    <w:rPr>
      <w:sz w:val="20"/>
      <w:szCs w:val="20"/>
    </w:rPr>
  </w:style>
  <w:style w:type="character" w:customStyle="1" w:styleId="a5">
    <w:name w:val="頁首 字元"/>
    <w:basedOn w:val="a0"/>
    <w:link w:val="a4"/>
    <w:rsid w:val="00FE3A0B"/>
    <w:rPr>
      <w:kern w:val="2"/>
    </w:rPr>
  </w:style>
  <w:style w:type="paragraph" w:styleId="a6">
    <w:name w:val="footer"/>
    <w:basedOn w:val="a"/>
    <w:link w:val="a7"/>
    <w:rsid w:val="00FE3A0B"/>
    <w:pPr>
      <w:tabs>
        <w:tab w:val="center" w:pos="4153"/>
        <w:tab w:val="right" w:pos="8306"/>
      </w:tabs>
      <w:snapToGrid w:val="0"/>
    </w:pPr>
    <w:rPr>
      <w:sz w:val="20"/>
      <w:szCs w:val="20"/>
    </w:rPr>
  </w:style>
  <w:style w:type="character" w:customStyle="1" w:styleId="a7">
    <w:name w:val="頁尾 字元"/>
    <w:basedOn w:val="a0"/>
    <w:link w:val="a6"/>
    <w:rsid w:val="00FE3A0B"/>
    <w:rPr>
      <w:kern w:val="2"/>
    </w:rPr>
  </w:style>
  <w:style w:type="paragraph" w:styleId="a8">
    <w:name w:val="Balloon Text"/>
    <w:basedOn w:val="a"/>
    <w:link w:val="a9"/>
    <w:rsid w:val="009C4E8D"/>
    <w:rPr>
      <w:rFonts w:asciiTheme="majorHAnsi" w:eastAsiaTheme="majorEastAsia" w:hAnsiTheme="majorHAnsi" w:cstheme="majorBidi"/>
      <w:sz w:val="18"/>
      <w:szCs w:val="18"/>
    </w:rPr>
  </w:style>
  <w:style w:type="character" w:customStyle="1" w:styleId="a9">
    <w:name w:val="註解方塊文字 字元"/>
    <w:basedOn w:val="a0"/>
    <w:link w:val="a8"/>
    <w:rsid w:val="009C4E8D"/>
    <w:rPr>
      <w:rFonts w:asciiTheme="majorHAnsi" w:eastAsiaTheme="majorEastAsia" w:hAnsiTheme="majorHAnsi" w:cstheme="maj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422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FE3A0B"/>
    <w:pPr>
      <w:tabs>
        <w:tab w:val="center" w:pos="4153"/>
        <w:tab w:val="right" w:pos="8306"/>
      </w:tabs>
      <w:snapToGrid w:val="0"/>
    </w:pPr>
    <w:rPr>
      <w:sz w:val="20"/>
      <w:szCs w:val="20"/>
    </w:rPr>
  </w:style>
  <w:style w:type="character" w:customStyle="1" w:styleId="a5">
    <w:name w:val="頁首 字元"/>
    <w:basedOn w:val="a0"/>
    <w:link w:val="a4"/>
    <w:rsid w:val="00FE3A0B"/>
    <w:rPr>
      <w:kern w:val="2"/>
    </w:rPr>
  </w:style>
  <w:style w:type="paragraph" w:styleId="a6">
    <w:name w:val="footer"/>
    <w:basedOn w:val="a"/>
    <w:link w:val="a7"/>
    <w:rsid w:val="00FE3A0B"/>
    <w:pPr>
      <w:tabs>
        <w:tab w:val="center" w:pos="4153"/>
        <w:tab w:val="right" w:pos="8306"/>
      </w:tabs>
      <w:snapToGrid w:val="0"/>
    </w:pPr>
    <w:rPr>
      <w:sz w:val="20"/>
      <w:szCs w:val="20"/>
    </w:rPr>
  </w:style>
  <w:style w:type="character" w:customStyle="1" w:styleId="a7">
    <w:name w:val="頁尾 字元"/>
    <w:basedOn w:val="a0"/>
    <w:link w:val="a6"/>
    <w:rsid w:val="00FE3A0B"/>
    <w:rPr>
      <w:kern w:val="2"/>
    </w:rPr>
  </w:style>
  <w:style w:type="paragraph" w:styleId="a8">
    <w:name w:val="Balloon Text"/>
    <w:basedOn w:val="a"/>
    <w:link w:val="a9"/>
    <w:rsid w:val="009C4E8D"/>
    <w:rPr>
      <w:rFonts w:asciiTheme="majorHAnsi" w:eastAsiaTheme="majorEastAsia" w:hAnsiTheme="majorHAnsi" w:cstheme="majorBidi"/>
      <w:sz w:val="18"/>
      <w:szCs w:val="18"/>
    </w:rPr>
  </w:style>
  <w:style w:type="character" w:customStyle="1" w:styleId="a9">
    <w:name w:val="註解方塊文字 字元"/>
    <w:basedOn w:val="a0"/>
    <w:link w:val="a8"/>
    <w:rsid w:val="009C4E8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1118</Characters>
  <Application>Microsoft Office Word</Application>
  <DocSecurity>0</DocSecurity>
  <Lines>9</Lines>
  <Paragraphs>2</Paragraphs>
  <ScaleCrop>false</ScaleCrop>
  <Company/>
  <LinksUpToDate>false</LinksUpToDate>
  <CharactersWithSpaces>1311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dc:creator>
  <cp:lastModifiedBy>呈核室張雨龍</cp:lastModifiedBy>
  <cp:revision>3</cp:revision>
  <cp:lastPrinted>2013-09-26T03:11:00Z</cp:lastPrinted>
  <dcterms:created xsi:type="dcterms:W3CDTF">2013-10-15T06:55:00Z</dcterms:created>
  <dcterms:modified xsi:type="dcterms:W3CDTF">2013-10-15T07:38:00Z</dcterms:modified>
</cp:coreProperties>
</file>